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AE8F" w14:textId="492616DE" w:rsidR="00087BF1" w:rsidRPr="005E37A9" w:rsidRDefault="00087BF1" w:rsidP="000911EB">
      <w:pPr>
        <w:pStyle w:val="Heading1"/>
        <w:spacing w:before="0" w:line="480" w:lineRule="auto"/>
        <w:jc w:val="center"/>
        <w:rPr>
          <w:sz w:val="26"/>
          <w:szCs w:val="26"/>
          <w:lang w:val="en-US"/>
        </w:rPr>
      </w:pPr>
      <w:r w:rsidRPr="005E37A9">
        <w:rPr>
          <w:sz w:val="26"/>
          <w:szCs w:val="26"/>
          <w:lang w:val="en-US"/>
        </w:rPr>
        <w:t>From Project Ideas to Investment Readiness</w:t>
      </w:r>
    </w:p>
    <w:p w14:paraId="56338727" w14:textId="77777777" w:rsidR="00087BF1" w:rsidRPr="005E37A9" w:rsidRDefault="00087BF1" w:rsidP="000911EB">
      <w:pPr>
        <w:pStyle w:val="Heading1"/>
        <w:spacing w:before="0" w:line="480" w:lineRule="auto"/>
        <w:jc w:val="center"/>
        <w:rPr>
          <w:sz w:val="26"/>
          <w:szCs w:val="26"/>
          <w:lang w:val="en-US"/>
        </w:rPr>
      </w:pPr>
      <w:r w:rsidRPr="005E37A9">
        <w:rPr>
          <w:sz w:val="26"/>
          <w:szCs w:val="26"/>
          <w:lang w:val="en-US"/>
        </w:rPr>
        <w:t>Renewable Energy Working Group 2023–2024</w:t>
      </w:r>
    </w:p>
    <w:p w14:paraId="11D4CFE4" w14:textId="77777777" w:rsidR="00087BF1" w:rsidRDefault="00087BF1" w:rsidP="000911EB">
      <w:pPr>
        <w:pStyle w:val="Heading1"/>
        <w:spacing w:before="0" w:line="480" w:lineRule="auto"/>
        <w:jc w:val="center"/>
        <w:rPr>
          <w:sz w:val="26"/>
          <w:szCs w:val="26"/>
          <w:lang w:val="en-US"/>
        </w:rPr>
      </w:pPr>
      <w:r w:rsidRPr="005E37A9">
        <w:rPr>
          <w:sz w:val="26"/>
          <w:szCs w:val="26"/>
          <w:lang w:val="en-US"/>
        </w:rPr>
        <w:t>Connective Cities – Africa-Wide Municipal Energy Transition Platform</w:t>
      </w:r>
    </w:p>
    <w:p w14:paraId="4AE1346D" w14:textId="77777777" w:rsidR="000911EB" w:rsidRDefault="000911EB" w:rsidP="000911EB">
      <w:pPr>
        <w:rPr>
          <w:lang w:val="en-US"/>
        </w:rPr>
      </w:pPr>
    </w:p>
    <w:p w14:paraId="2499B958" w14:textId="6570E937" w:rsidR="000911EB" w:rsidRPr="000911EB" w:rsidRDefault="00067CC5" w:rsidP="000911EB">
      <w:pPr>
        <w:rPr>
          <w:lang w:val="en-US"/>
        </w:rPr>
      </w:pPr>
      <w:r>
        <w:rPr>
          <w:noProof/>
          <w:lang w:val="en-US"/>
        </w:rPr>
        <w:drawing>
          <wp:inline distT="0" distB="0" distL="0" distR="0" wp14:anchorId="37AFC789" wp14:editId="08D6C8B3">
            <wp:extent cx="5759450" cy="3837940"/>
            <wp:effectExtent l="0" t="0" r="0" b="0"/>
            <wp:docPr id="21487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73116" name="Picture 214873116"/>
                    <pic:cNvPicPr/>
                  </pic:nvPicPr>
                  <pic:blipFill>
                    <a:blip r:embed="rId11">
                      <a:extLst>
                        <a:ext uri="{28A0092B-C50C-407E-A947-70E740481C1C}">
                          <a14:useLocalDpi xmlns:a14="http://schemas.microsoft.com/office/drawing/2010/main" val="0"/>
                        </a:ext>
                      </a:extLst>
                    </a:blip>
                    <a:stretch>
                      <a:fillRect/>
                    </a:stretch>
                  </pic:blipFill>
                  <pic:spPr>
                    <a:xfrm>
                      <a:off x="0" y="0"/>
                      <a:ext cx="5759450" cy="3837940"/>
                    </a:xfrm>
                    <a:prstGeom prst="rect">
                      <a:avLst/>
                    </a:prstGeom>
                  </pic:spPr>
                </pic:pic>
              </a:graphicData>
            </a:graphic>
          </wp:inline>
        </w:drawing>
      </w:r>
    </w:p>
    <w:p w14:paraId="13935B0B" w14:textId="77777777" w:rsidR="00067CC5" w:rsidRDefault="00067CC5" w:rsidP="005E37A9">
      <w:pPr>
        <w:pStyle w:val="Heading2"/>
        <w:rPr>
          <w:lang w:val="en-US"/>
        </w:rPr>
      </w:pPr>
    </w:p>
    <w:p w14:paraId="1F6110A3" w14:textId="77777777" w:rsidR="00067CC5" w:rsidRDefault="00067CC5" w:rsidP="005E37A9">
      <w:pPr>
        <w:pStyle w:val="Heading2"/>
        <w:rPr>
          <w:lang w:val="en-US"/>
        </w:rPr>
      </w:pPr>
    </w:p>
    <w:p w14:paraId="3B576F33" w14:textId="77777777" w:rsidR="00067CC5" w:rsidRDefault="00067CC5" w:rsidP="005E37A9">
      <w:pPr>
        <w:pStyle w:val="Heading2"/>
        <w:rPr>
          <w:lang w:val="en-US"/>
        </w:rPr>
      </w:pPr>
    </w:p>
    <w:p w14:paraId="70DFC012" w14:textId="77777777" w:rsidR="00067CC5" w:rsidRDefault="00067CC5" w:rsidP="005E37A9">
      <w:pPr>
        <w:pStyle w:val="Heading2"/>
        <w:rPr>
          <w:lang w:val="en-US"/>
        </w:rPr>
      </w:pPr>
    </w:p>
    <w:p w14:paraId="50E280F2" w14:textId="77777777" w:rsidR="00067CC5" w:rsidRDefault="00067CC5" w:rsidP="005E37A9">
      <w:pPr>
        <w:pStyle w:val="Heading2"/>
        <w:rPr>
          <w:lang w:val="en-US"/>
        </w:rPr>
      </w:pPr>
    </w:p>
    <w:p w14:paraId="008BE7F4" w14:textId="77777777" w:rsidR="00067CC5" w:rsidRDefault="00067CC5" w:rsidP="005E37A9">
      <w:pPr>
        <w:pStyle w:val="Heading2"/>
        <w:rPr>
          <w:lang w:val="en-US"/>
        </w:rPr>
      </w:pPr>
    </w:p>
    <w:p w14:paraId="5C30468B" w14:textId="77777777" w:rsidR="00067CC5" w:rsidRDefault="00067CC5" w:rsidP="005E37A9">
      <w:pPr>
        <w:pStyle w:val="Heading2"/>
        <w:rPr>
          <w:lang w:val="en-US"/>
        </w:rPr>
      </w:pPr>
    </w:p>
    <w:p w14:paraId="06124A0B" w14:textId="77777777" w:rsidR="00067CC5" w:rsidRDefault="00067CC5" w:rsidP="005E37A9">
      <w:pPr>
        <w:pStyle w:val="Heading2"/>
        <w:rPr>
          <w:lang w:val="en-US"/>
        </w:rPr>
      </w:pPr>
    </w:p>
    <w:p w14:paraId="0B69C40E" w14:textId="77777777" w:rsidR="00067CC5" w:rsidRDefault="00067CC5" w:rsidP="005E37A9">
      <w:pPr>
        <w:pStyle w:val="Heading2"/>
        <w:rPr>
          <w:lang w:val="en-US"/>
        </w:rPr>
      </w:pPr>
    </w:p>
    <w:p w14:paraId="6A837ABB" w14:textId="77777777" w:rsidR="00067CC5" w:rsidRDefault="00067CC5">
      <w:pPr>
        <w:spacing w:after="160" w:line="259" w:lineRule="auto"/>
        <w:rPr>
          <w:rFonts w:eastAsiaTheme="majorEastAsia" w:cstheme="majorBidi"/>
          <w:b/>
          <w:bCs/>
          <w:sz w:val="24"/>
          <w:szCs w:val="26"/>
          <w:lang w:val="en-US"/>
        </w:rPr>
      </w:pPr>
      <w:r>
        <w:rPr>
          <w:lang w:val="en-US"/>
        </w:rPr>
        <w:br w:type="page"/>
      </w:r>
    </w:p>
    <w:p w14:paraId="0135A9E5" w14:textId="73930714" w:rsidR="00087BF1" w:rsidRPr="00087BF1" w:rsidRDefault="00087BF1" w:rsidP="005E37A9">
      <w:pPr>
        <w:pStyle w:val="Heading2"/>
        <w:rPr>
          <w:lang w:val="en-US"/>
        </w:rPr>
      </w:pPr>
      <w:r w:rsidRPr="00087BF1">
        <w:rPr>
          <w:lang w:val="en-US"/>
        </w:rPr>
        <w:lastRenderedPageBreak/>
        <w:t>Executive Summary</w:t>
      </w:r>
    </w:p>
    <w:p w14:paraId="10813F87" w14:textId="77777777" w:rsidR="005E37A9" w:rsidRDefault="005E37A9" w:rsidP="00087BF1">
      <w:pPr>
        <w:rPr>
          <w:lang w:val="en-US"/>
        </w:rPr>
      </w:pPr>
    </w:p>
    <w:p w14:paraId="02C36FBE" w14:textId="41F9355E" w:rsidR="00087BF1" w:rsidRPr="00087BF1" w:rsidRDefault="00087BF1" w:rsidP="00087BF1">
      <w:pPr>
        <w:rPr>
          <w:lang w:val="en-US"/>
        </w:rPr>
      </w:pPr>
      <w:r w:rsidRPr="00087BF1">
        <w:rPr>
          <w:lang w:val="en-US"/>
        </w:rPr>
        <w:t>Municipalities across Africa are increasingly positioning renewable energy as a strategic instrument for fiscal sustainability, climate mitigation, and service delivery reform. However, the transition from political ambition to investment-ready infrastructure projects remains structurally challenging.</w:t>
      </w:r>
    </w:p>
    <w:p w14:paraId="3B8E0B4F" w14:textId="77777777" w:rsidR="005E37A9" w:rsidRDefault="005E37A9" w:rsidP="00087BF1">
      <w:pPr>
        <w:rPr>
          <w:lang w:val="en-US"/>
        </w:rPr>
      </w:pPr>
    </w:p>
    <w:p w14:paraId="1EA26C52" w14:textId="496ED27E" w:rsidR="00087BF1" w:rsidRPr="00087BF1" w:rsidRDefault="00087BF1" w:rsidP="00087BF1">
      <w:pPr>
        <w:rPr>
          <w:lang w:val="en-US"/>
        </w:rPr>
      </w:pPr>
      <w:r w:rsidRPr="00087BF1">
        <w:rPr>
          <w:lang w:val="en-US"/>
        </w:rPr>
        <w:t>The Renewable Energy Working Group (2023–2024), implemented under the Connective Cities platform, was designed as a practical acceleration mechanism to support municipalities in advancing renewable energy initiatives toward structured investment pipelines. The working group convened cities from across Sub-Saharan Africa and North Africa through peer-learning events in Nairobi, Dar es Salaam and Tunis. Rather than focusing on regional comparison, the initiative treated African municipalities as part of one emerging investment landscape.</w:t>
      </w:r>
    </w:p>
    <w:p w14:paraId="70864DD5" w14:textId="77777777" w:rsidR="005E37A9" w:rsidRDefault="005E37A9" w:rsidP="00087BF1">
      <w:pPr>
        <w:rPr>
          <w:lang w:val="en-US"/>
        </w:rPr>
      </w:pPr>
    </w:p>
    <w:p w14:paraId="58224FC7" w14:textId="53549FE1" w:rsidR="00087BF1" w:rsidRPr="00087BF1" w:rsidRDefault="00087BF1" w:rsidP="00087BF1">
      <w:pPr>
        <w:rPr>
          <w:lang w:val="en-US"/>
        </w:rPr>
      </w:pPr>
      <w:r w:rsidRPr="00087BF1">
        <w:rPr>
          <w:lang w:val="en-US"/>
        </w:rPr>
        <w:t>Across participating cities, three dominant sectors of municipal renewable energy investment emerged:</w:t>
      </w:r>
    </w:p>
    <w:p w14:paraId="375B6983" w14:textId="77777777" w:rsidR="00087BF1" w:rsidRPr="00087BF1" w:rsidRDefault="00087BF1" w:rsidP="00087BF1">
      <w:pPr>
        <w:numPr>
          <w:ilvl w:val="0"/>
          <w:numId w:val="18"/>
        </w:numPr>
        <w:rPr>
          <w:lang w:val="en-US"/>
        </w:rPr>
      </w:pPr>
      <w:r w:rsidRPr="00087BF1">
        <w:rPr>
          <w:lang w:val="en-US"/>
        </w:rPr>
        <w:t>Street lighting and mobility-linked infrastructure</w:t>
      </w:r>
    </w:p>
    <w:p w14:paraId="48EB8B13" w14:textId="77777777" w:rsidR="00087BF1" w:rsidRPr="00087BF1" w:rsidRDefault="00087BF1" w:rsidP="00087BF1">
      <w:pPr>
        <w:numPr>
          <w:ilvl w:val="0"/>
          <w:numId w:val="18"/>
        </w:numPr>
        <w:rPr>
          <w:lang w:val="en-US"/>
        </w:rPr>
      </w:pPr>
      <w:r w:rsidRPr="00087BF1">
        <w:rPr>
          <w:lang w:val="en-US"/>
        </w:rPr>
        <w:t>Rooftop photovoltaic (PV) systems for public buildings</w:t>
      </w:r>
    </w:p>
    <w:p w14:paraId="0F43327E" w14:textId="77777777" w:rsidR="00087BF1" w:rsidRPr="00087BF1" w:rsidRDefault="00087BF1" w:rsidP="00087BF1">
      <w:pPr>
        <w:numPr>
          <w:ilvl w:val="0"/>
          <w:numId w:val="18"/>
        </w:numPr>
      </w:pPr>
      <w:r w:rsidRPr="00087BF1">
        <w:t>Larger-</w:t>
      </w:r>
      <w:proofErr w:type="spellStart"/>
      <w:r w:rsidRPr="00087BF1">
        <w:t>scale</w:t>
      </w:r>
      <w:proofErr w:type="spellEnd"/>
      <w:r w:rsidRPr="00087BF1">
        <w:t xml:space="preserve"> PV and hybrid </w:t>
      </w:r>
      <w:proofErr w:type="spellStart"/>
      <w:r w:rsidRPr="00087BF1">
        <w:t>renewable</w:t>
      </w:r>
      <w:proofErr w:type="spellEnd"/>
      <w:r w:rsidRPr="00087BF1">
        <w:t xml:space="preserve"> </w:t>
      </w:r>
      <w:proofErr w:type="spellStart"/>
      <w:r w:rsidRPr="00087BF1">
        <w:t>concepts</w:t>
      </w:r>
      <w:proofErr w:type="spellEnd"/>
    </w:p>
    <w:p w14:paraId="71FE102F" w14:textId="77777777" w:rsidR="005E37A9" w:rsidRDefault="005E37A9" w:rsidP="00087BF1">
      <w:pPr>
        <w:rPr>
          <w:lang w:val="en-US"/>
        </w:rPr>
      </w:pPr>
    </w:p>
    <w:p w14:paraId="1FF4D668" w14:textId="3ABFD67B" w:rsidR="00087BF1" w:rsidRPr="00087BF1" w:rsidRDefault="00087BF1" w:rsidP="00087BF1">
      <w:pPr>
        <w:rPr>
          <w:lang w:val="en-US"/>
        </w:rPr>
      </w:pPr>
      <w:r w:rsidRPr="00087BF1">
        <w:rPr>
          <w:lang w:val="en-US"/>
        </w:rPr>
        <w:t>Each sector reflects different levels of technical complexity, capital intensity, institutional demand and financing readiness.</w:t>
      </w:r>
    </w:p>
    <w:p w14:paraId="06BC897E" w14:textId="77777777" w:rsidR="005E37A9" w:rsidRDefault="005E37A9" w:rsidP="00087BF1">
      <w:pPr>
        <w:rPr>
          <w:lang w:val="en-US"/>
        </w:rPr>
      </w:pPr>
    </w:p>
    <w:p w14:paraId="0ED203F7" w14:textId="6C940CD0" w:rsidR="00087BF1" w:rsidRPr="00087BF1" w:rsidRDefault="00087BF1" w:rsidP="00087BF1">
      <w:pPr>
        <w:rPr>
          <w:lang w:val="en-US"/>
        </w:rPr>
      </w:pPr>
      <w:r w:rsidRPr="00087BF1">
        <w:rPr>
          <w:lang w:val="en-US"/>
        </w:rPr>
        <w:t>Street lighting modernization, often through LED retrofitting and solar-powered systems, represents the most immediate and visible entry point for municipalities. Rooftop PV for public buildings demonstrates strong replicability and alignment with climate plans. Larger-scale PV plants and hybrid systems illustrate long-term ambition but require significantly stronger preparation frameworks.</w:t>
      </w:r>
    </w:p>
    <w:p w14:paraId="57AC1CFD" w14:textId="77777777" w:rsidR="005E37A9" w:rsidRDefault="005E37A9" w:rsidP="00087BF1">
      <w:pPr>
        <w:rPr>
          <w:lang w:val="en-US"/>
        </w:rPr>
      </w:pPr>
    </w:p>
    <w:p w14:paraId="29EEC657" w14:textId="09F3590E" w:rsidR="00087BF1" w:rsidRPr="00087BF1" w:rsidRDefault="00087BF1" w:rsidP="00087BF1">
      <w:pPr>
        <w:rPr>
          <w:lang w:val="en-US"/>
        </w:rPr>
      </w:pPr>
      <w:r w:rsidRPr="00087BF1">
        <w:rPr>
          <w:lang w:val="en-US"/>
        </w:rPr>
        <w:t xml:space="preserve">Throughout the working group process, municipalities engaged directly with development finance institutions and technical partners. In Tunis, structured financing roundtables brought together representatives of AFD, EIB, AfDB, KfW, UNCDF and others. In Dar es Salaam, financing prerequisites and project bankability criteria were examined in depth. The Commune of </w:t>
      </w:r>
      <w:proofErr w:type="spellStart"/>
      <w:r w:rsidRPr="00087BF1">
        <w:rPr>
          <w:lang w:val="en-US"/>
        </w:rPr>
        <w:t>Nefza</w:t>
      </w:r>
      <w:proofErr w:type="spellEnd"/>
      <w:r w:rsidRPr="00087BF1">
        <w:rPr>
          <w:lang w:val="en-US"/>
        </w:rPr>
        <w:t xml:space="preserve"> subsequently </w:t>
      </w:r>
      <w:proofErr w:type="gramStart"/>
      <w:r w:rsidRPr="00087BF1">
        <w:rPr>
          <w:lang w:val="en-US"/>
        </w:rPr>
        <w:t>submitted an application</w:t>
      </w:r>
      <w:proofErr w:type="gramEnd"/>
      <w:r w:rsidRPr="00087BF1">
        <w:rPr>
          <w:lang w:val="en-US"/>
        </w:rPr>
        <w:t xml:space="preserve"> to the Gap Fund for project preparation support, illustrating the transition from workshop discussion to pipeline structuring.</w:t>
      </w:r>
    </w:p>
    <w:p w14:paraId="546AFB9B" w14:textId="77777777" w:rsidR="005E37A9" w:rsidRDefault="005E37A9" w:rsidP="00087BF1">
      <w:pPr>
        <w:rPr>
          <w:lang w:val="en-US"/>
        </w:rPr>
      </w:pPr>
    </w:p>
    <w:p w14:paraId="483BC681" w14:textId="00E10AE1" w:rsidR="00087BF1" w:rsidRPr="00087BF1" w:rsidRDefault="00087BF1" w:rsidP="00087BF1">
      <w:pPr>
        <w:rPr>
          <w:lang w:val="en-US"/>
        </w:rPr>
      </w:pPr>
      <w:r w:rsidRPr="00087BF1">
        <w:rPr>
          <w:lang w:val="en-US"/>
        </w:rPr>
        <w:t>The overarching lesson is clear: municipal renewable energy transition in Africa is not constrained by political will. It is constrained by structured project preparation capacity.</w:t>
      </w:r>
    </w:p>
    <w:p w14:paraId="383B26F8" w14:textId="77777777" w:rsidR="00087BF1" w:rsidRDefault="00087BF1" w:rsidP="00087BF1">
      <w:pPr>
        <w:rPr>
          <w:lang w:val="en-US"/>
        </w:rPr>
      </w:pPr>
      <w:r w:rsidRPr="00087BF1">
        <w:rPr>
          <w:lang w:val="en-US"/>
        </w:rPr>
        <w:t xml:space="preserve">Connective Cities has demonstrated its role as an intermediary platform that bridges municipal ambition and development finance requirements. The next phase must deepen sector-specific bankability tracks and </w:t>
      </w:r>
      <w:proofErr w:type="gramStart"/>
      <w:r w:rsidRPr="00087BF1">
        <w:rPr>
          <w:lang w:val="en-US"/>
        </w:rPr>
        <w:t>structured</w:t>
      </w:r>
      <w:proofErr w:type="gramEnd"/>
      <w:r w:rsidRPr="00087BF1">
        <w:rPr>
          <w:lang w:val="en-US"/>
        </w:rPr>
        <w:t xml:space="preserve"> project clinics to transform concept portfolios into investment pipelines.</w:t>
      </w:r>
    </w:p>
    <w:p w14:paraId="601A7978" w14:textId="77777777" w:rsidR="005E37A9" w:rsidRPr="00087BF1" w:rsidRDefault="005E37A9" w:rsidP="00087BF1">
      <w:pPr>
        <w:rPr>
          <w:lang w:val="en-US"/>
        </w:rPr>
      </w:pPr>
    </w:p>
    <w:p w14:paraId="1269A53A" w14:textId="77777777" w:rsidR="00087BF1" w:rsidRPr="00087BF1" w:rsidRDefault="00087BF1" w:rsidP="005E37A9">
      <w:pPr>
        <w:pStyle w:val="Heading2"/>
        <w:rPr>
          <w:lang w:val="en-US"/>
        </w:rPr>
      </w:pPr>
      <w:r w:rsidRPr="00087BF1">
        <w:rPr>
          <w:lang w:val="en-US"/>
        </w:rPr>
        <w:t>1. Municipal Renewable Energy as Infrastructure Reform</w:t>
      </w:r>
    </w:p>
    <w:p w14:paraId="23B3A992" w14:textId="77777777" w:rsidR="005E37A9" w:rsidRDefault="005E37A9" w:rsidP="00087BF1">
      <w:pPr>
        <w:rPr>
          <w:lang w:val="en-US"/>
        </w:rPr>
      </w:pPr>
    </w:p>
    <w:p w14:paraId="79F456E4" w14:textId="16A3C470" w:rsidR="00087BF1" w:rsidRPr="00087BF1" w:rsidRDefault="00087BF1" w:rsidP="00087BF1">
      <w:pPr>
        <w:rPr>
          <w:lang w:val="en-US"/>
        </w:rPr>
      </w:pPr>
      <w:r w:rsidRPr="00087BF1">
        <w:rPr>
          <w:lang w:val="en-US"/>
        </w:rPr>
        <w:t>Municipal renewable energy is frequently framed as a climate mitigation measure. In practice, it functions as a broader infrastructure reform mechanism.</w:t>
      </w:r>
    </w:p>
    <w:p w14:paraId="2DB66B34" w14:textId="77777777" w:rsidR="00087BF1" w:rsidRPr="00087BF1" w:rsidRDefault="00087BF1" w:rsidP="00087BF1">
      <w:pPr>
        <w:rPr>
          <w:lang w:val="en-US"/>
        </w:rPr>
      </w:pPr>
      <w:r w:rsidRPr="00087BF1">
        <w:rPr>
          <w:lang w:val="en-US"/>
        </w:rPr>
        <w:t>Across African municipalities, electricity expenditures represent a significant portion of operational budgets. Public lighting alone can account for 30–60 percent of municipal electricity consumption. Aging lighting systems, inefficient luminaires and grid dependency create fiscal pressure and service reliability risks.</w:t>
      </w:r>
    </w:p>
    <w:p w14:paraId="4A3B85D4" w14:textId="72B2EA93" w:rsidR="00087BF1" w:rsidRPr="00087BF1" w:rsidRDefault="00087BF1" w:rsidP="00087BF1">
      <w:pPr>
        <w:rPr>
          <w:lang w:val="en-US"/>
        </w:rPr>
      </w:pPr>
      <w:r w:rsidRPr="00087BF1">
        <w:rPr>
          <w:lang w:val="en-US"/>
        </w:rPr>
        <w:t>Renewable energy interventions therefore address three simultaneous objectives:</w:t>
      </w:r>
    </w:p>
    <w:p w14:paraId="6889EAFB" w14:textId="77777777" w:rsidR="00087BF1" w:rsidRPr="00087BF1" w:rsidRDefault="00087BF1" w:rsidP="00087BF1">
      <w:pPr>
        <w:numPr>
          <w:ilvl w:val="0"/>
          <w:numId w:val="19"/>
        </w:numPr>
      </w:pPr>
      <w:proofErr w:type="spellStart"/>
      <w:r w:rsidRPr="00087BF1">
        <w:lastRenderedPageBreak/>
        <w:t>Cost</w:t>
      </w:r>
      <w:proofErr w:type="spellEnd"/>
      <w:r w:rsidRPr="00087BF1">
        <w:t xml:space="preserve"> </w:t>
      </w:r>
      <w:proofErr w:type="spellStart"/>
      <w:r w:rsidRPr="00087BF1">
        <w:t>reduction</w:t>
      </w:r>
      <w:proofErr w:type="spellEnd"/>
      <w:r w:rsidRPr="00087BF1">
        <w:t xml:space="preserve"> and </w:t>
      </w:r>
      <w:proofErr w:type="spellStart"/>
      <w:r w:rsidRPr="00087BF1">
        <w:t>fiscal</w:t>
      </w:r>
      <w:proofErr w:type="spellEnd"/>
      <w:r w:rsidRPr="00087BF1">
        <w:t xml:space="preserve"> </w:t>
      </w:r>
      <w:proofErr w:type="spellStart"/>
      <w:r w:rsidRPr="00087BF1">
        <w:t>stabilization</w:t>
      </w:r>
      <w:proofErr w:type="spellEnd"/>
    </w:p>
    <w:p w14:paraId="0E089EA4" w14:textId="77777777" w:rsidR="00087BF1" w:rsidRPr="00087BF1" w:rsidRDefault="00087BF1" w:rsidP="00087BF1">
      <w:pPr>
        <w:numPr>
          <w:ilvl w:val="0"/>
          <w:numId w:val="19"/>
        </w:numPr>
      </w:pPr>
      <w:r w:rsidRPr="00087BF1">
        <w:t xml:space="preserve">Service </w:t>
      </w:r>
      <w:proofErr w:type="spellStart"/>
      <w:r w:rsidRPr="00087BF1">
        <w:t>reliability</w:t>
      </w:r>
      <w:proofErr w:type="spellEnd"/>
      <w:r w:rsidRPr="00087BF1">
        <w:t xml:space="preserve"> and </w:t>
      </w:r>
      <w:proofErr w:type="spellStart"/>
      <w:r w:rsidRPr="00087BF1">
        <w:t>public</w:t>
      </w:r>
      <w:proofErr w:type="spellEnd"/>
      <w:r w:rsidRPr="00087BF1">
        <w:t xml:space="preserve"> </w:t>
      </w:r>
      <w:proofErr w:type="spellStart"/>
      <w:r w:rsidRPr="00087BF1">
        <w:t>safety</w:t>
      </w:r>
      <w:proofErr w:type="spellEnd"/>
    </w:p>
    <w:p w14:paraId="7BBAABED" w14:textId="77777777" w:rsidR="00087BF1" w:rsidRPr="00087BF1" w:rsidRDefault="00087BF1" w:rsidP="00087BF1">
      <w:pPr>
        <w:numPr>
          <w:ilvl w:val="0"/>
          <w:numId w:val="19"/>
        </w:numPr>
      </w:pPr>
      <w:r w:rsidRPr="00087BF1">
        <w:t xml:space="preserve">Climate </w:t>
      </w:r>
      <w:proofErr w:type="spellStart"/>
      <w:r w:rsidRPr="00087BF1">
        <w:t>mitigation</w:t>
      </w:r>
      <w:proofErr w:type="spellEnd"/>
      <w:r w:rsidRPr="00087BF1">
        <w:t xml:space="preserve"> and </w:t>
      </w:r>
      <w:proofErr w:type="spellStart"/>
      <w:r w:rsidRPr="00087BF1">
        <w:t>energy</w:t>
      </w:r>
      <w:proofErr w:type="spellEnd"/>
      <w:r w:rsidRPr="00087BF1">
        <w:t xml:space="preserve"> </w:t>
      </w:r>
      <w:proofErr w:type="spellStart"/>
      <w:r w:rsidRPr="00087BF1">
        <w:t>transition</w:t>
      </w:r>
      <w:proofErr w:type="spellEnd"/>
    </w:p>
    <w:p w14:paraId="56342EA0" w14:textId="77777777" w:rsidR="005E37A9" w:rsidRDefault="005E37A9" w:rsidP="00087BF1">
      <w:pPr>
        <w:rPr>
          <w:lang w:val="en-US"/>
        </w:rPr>
      </w:pPr>
    </w:p>
    <w:p w14:paraId="4362A5B3" w14:textId="6379E432" w:rsidR="00087BF1" w:rsidRPr="005E37A9" w:rsidRDefault="00087BF1" w:rsidP="00087BF1">
      <w:pPr>
        <w:rPr>
          <w:lang w:val="en-US"/>
        </w:rPr>
      </w:pPr>
      <w:r w:rsidRPr="00087BF1">
        <w:rPr>
          <w:lang w:val="en-US"/>
        </w:rPr>
        <w:t xml:space="preserve">The working group confirmed that renewable energy projects are rarely isolated technical interventions. </w:t>
      </w:r>
      <w:r w:rsidRPr="005E37A9">
        <w:rPr>
          <w:lang w:val="en-US"/>
        </w:rPr>
        <w:t>They intersect with:</w:t>
      </w:r>
    </w:p>
    <w:p w14:paraId="3A7B8E95" w14:textId="77777777" w:rsidR="00087BF1" w:rsidRPr="00087BF1" w:rsidRDefault="00087BF1" w:rsidP="00087BF1">
      <w:pPr>
        <w:numPr>
          <w:ilvl w:val="0"/>
          <w:numId w:val="20"/>
        </w:numPr>
      </w:pPr>
      <w:proofErr w:type="spellStart"/>
      <w:r w:rsidRPr="00087BF1">
        <w:t>Procurement</w:t>
      </w:r>
      <w:proofErr w:type="spellEnd"/>
      <w:r w:rsidRPr="00087BF1">
        <w:t xml:space="preserve"> </w:t>
      </w:r>
      <w:proofErr w:type="spellStart"/>
      <w:r w:rsidRPr="00087BF1">
        <w:t>frameworks</w:t>
      </w:r>
      <w:proofErr w:type="spellEnd"/>
    </w:p>
    <w:p w14:paraId="3119B9B4" w14:textId="77777777" w:rsidR="00087BF1" w:rsidRPr="00087BF1" w:rsidRDefault="00087BF1" w:rsidP="00087BF1">
      <w:pPr>
        <w:numPr>
          <w:ilvl w:val="0"/>
          <w:numId w:val="20"/>
        </w:numPr>
      </w:pPr>
      <w:r w:rsidRPr="00087BF1">
        <w:t xml:space="preserve">Utility </w:t>
      </w:r>
      <w:proofErr w:type="spellStart"/>
      <w:r w:rsidRPr="00087BF1">
        <w:t>coordination</w:t>
      </w:r>
      <w:proofErr w:type="spellEnd"/>
    </w:p>
    <w:p w14:paraId="42F6047C" w14:textId="77777777" w:rsidR="00087BF1" w:rsidRPr="00087BF1" w:rsidRDefault="00087BF1" w:rsidP="00087BF1">
      <w:pPr>
        <w:numPr>
          <w:ilvl w:val="0"/>
          <w:numId w:val="20"/>
        </w:numPr>
      </w:pPr>
      <w:r w:rsidRPr="00087BF1">
        <w:t xml:space="preserve">Environmental </w:t>
      </w:r>
      <w:proofErr w:type="spellStart"/>
      <w:r w:rsidRPr="00087BF1">
        <w:t>permitting</w:t>
      </w:r>
      <w:proofErr w:type="spellEnd"/>
    </w:p>
    <w:p w14:paraId="7316D792" w14:textId="77777777" w:rsidR="00087BF1" w:rsidRPr="00087BF1" w:rsidRDefault="00087BF1" w:rsidP="00087BF1">
      <w:pPr>
        <w:numPr>
          <w:ilvl w:val="0"/>
          <w:numId w:val="20"/>
        </w:numPr>
      </w:pPr>
      <w:r w:rsidRPr="00087BF1">
        <w:t xml:space="preserve">Budget </w:t>
      </w:r>
      <w:proofErr w:type="spellStart"/>
      <w:r w:rsidRPr="00087BF1">
        <w:t>planning</w:t>
      </w:r>
      <w:proofErr w:type="spellEnd"/>
      <w:r w:rsidRPr="00087BF1">
        <w:t xml:space="preserve"> </w:t>
      </w:r>
      <w:proofErr w:type="spellStart"/>
      <w:r w:rsidRPr="00087BF1">
        <w:t>cycles</w:t>
      </w:r>
      <w:proofErr w:type="spellEnd"/>
    </w:p>
    <w:p w14:paraId="4E58E3AA" w14:textId="77777777" w:rsidR="00087BF1" w:rsidRPr="00087BF1" w:rsidRDefault="00087BF1" w:rsidP="00087BF1">
      <w:pPr>
        <w:numPr>
          <w:ilvl w:val="0"/>
          <w:numId w:val="20"/>
        </w:numPr>
      </w:pPr>
      <w:r w:rsidRPr="00087BF1">
        <w:t xml:space="preserve">Urban </w:t>
      </w:r>
      <w:proofErr w:type="spellStart"/>
      <w:r w:rsidRPr="00087BF1">
        <w:t>mobility</w:t>
      </w:r>
      <w:proofErr w:type="spellEnd"/>
      <w:r w:rsidRPr="00087BF1">
        <w:t xml:space="preserve"> </w:t>
      </w:r>
      <w:proofErr w:type="spellStart"/>
      <w:r w:rsidRPr="00087BF1">
        <w:t>strategies</w:t>
      </w:r>
      <w:proofErr w:type="spellEnd"/>
    </w:p>
    <w:p w14:paraId="76A750D4" w14:textId="77777777" w:rsidR="005E37A9" w:rsidRDefault="005E37A9" w:rsidP="00087BF1">
      <w:pPr>
        <w:rPr>
          <w:lang w:val="en-US"/>
        </w:rPr>
      </w:pPr>
    </w:p>
    <w:p w14:paraId="4322D2B0" w14:textId="2AED8F83" w:rsidR="00087BF1" w:rsidRPr="00087BF1" w:rsidRDefault="00087BF1" w:rsidP="00087BF1">
      <w:pPr>
        <w:rPr>
          <w:lang w:val="en-US"/>
        </w:rPr>
      </w:pPr>
      <w:r w:rsidRPr="00087BF1">
        <w:rPr>
          <w:lang w:val="en-US"/>
        </w:rPr>
        <w:t>For municipalities, the renewable energy transition represents a shift toward asset management discipline, long-term planning and structured financial modeling.</w:t>
      </w:r>
    </w:p>
    <w:p w14:paraId="29F9934A" w14:textId="77777777" w:rsidR="00087BF1" w:rsidRPr="00087BF1" w:rsidRDefault="00087BF1" w:rsidP="00087BF1">
      <w:pPr>
        <w:rPr>
          <w:lang w:val="en-US"/>
        </w:rPr>
      </w:pPr>
      <w:r w:rsidRPr="00087BF1">
        <w:rPr>
          <w:lang w:val="en-US"/>
        </w:rPr>
        <w:t>The participating cities illustrate that renewable energy reform often begins with a visible entry project (e.g., LED street lighting) and gradually expands toward more complex PV or hybrid systems.</w:t>
      </w:r>
    </w:p>
    <w:p w14:paraId="7F3E1480" w14:textId="77777777" w:rsidR="005E37A9" w:rsidRDefault="005E37A9" w:rsidP="00087BF1">
      <w:pPr>
        <w:rPr>
          <w:b/>
          <w:bCs/>
          <w:lang w:val="en-US"/>
        </w:rPr>
      </w:pPr>
    </w:p>
    <w:p w14:paraId="654DD3CA" w14:textId="77777777" w:rsidR="005E37A9" w:rsidRDefault="005E37A9" w:rsidP="00087BF1">
      <w:pPr>
        <w:rPr>
          <w:b/>
          <w:bCs/>
          <w:lang w:val="en-US"/>
        </w:rPr>
      </w:pPr>
    </w:p>
    <w:p w14:paraId="606F8E7C" w14:textId="0BD4D6B8" w:rsidR="00087BF1" w:rsidRPr="00087BF1" w:rsidRDefault="00087BF1" w:rsidP="005E37A9">
      <w:pPr>
        <w:pStyle w:val="Heading2"/>
        <w:rPr>
          <w:lang w:val="en-US"/>
        </w:rPr>
      </w:pPr>
      <w:r w:rsidRPr="00087BF1">
        <w:rPr>
          <w:lang w:val="en-US"/>
        </w:rPr>
        <w:t>2. Sector I – Street Lighting and Mobility Infrastructure</w:t>
      </w:r>
    </w:p>
    <w:p w14:paraId="7F614542" w14:textId="77777777" w:rsidR="005E37A9" w:rsidRDefault="005E37A9" w:rsidP="00087BF1">
      <w:pPr>
        <w:rPr>
          <w:lang w:val="en-US"/>
        </w:rPr>
      </w:pPr>
    </w:p>
    <w:p w14:paraId="32BA2076" w14:textId="5BAC6310" w:rsidR="00087BF1" w:rsidRPr="00087BF1" w:rsidRDefault="00087BF1" w:rsidP="00087BF1">
      <w:pPr>
        <w:rPr>
          <w:lang w:val="en-US"/>
        </w:rPr>
      </w:pPr>
      <w:r w:rsidRPr="00087BF1">
        <w:rPr>
          <w:lang w:val="en-US"/>
        </w:rPr>
        <w:t>Street lighting modernization emerged as the most prevalent renewable energy sector across participating municipalities. This sector combines high political visibility, direct cost-saving potential and manageable capital thresholds.</w:t>
      </w:r>
    </w:p>
    <w:p w14:paraId="297C1A8C" w14:textId="77777777" w:rsidR="00087BF1" w:rsidRPr="00087BF1" w:rsidRDefault="00087BF1" w:rsidP="005E37A9">
      <w:pPr>
        <w:pStyle w:val="Heading3"/>
        <w:rPr>
          <w:lang w:val="en-US"/>
        </w:rPr>
      </w:pPr>
      <w:r w:rsidRPr="00087BF1">
        <w:rPr>
          <w:lang w:val="en-US"/>
        </w:rPr>
        <w:t>2.1 LED Modernization as Entry Strategy</w:t>
      </w:r>
    </w:p>
    <w:p w14:paraId="27BD69C0" w14:textId="77777777" w:rsidR="005E37A9" w:rsidRDefault="005E37A9" w:rsidP="00087BF1">
      <w:pPr>
        <w:rPr>
          <w:lang w:val="en-US"/>
        </w:rPr>
      </w:pPr>
    </w:p>
    <w:p w14:paraId="191331DF" w14:textId="51AAFD1F" w:rsidR="00087BF1" w:rsidRPr="00087BF1" w:rsidRDefault="00087BF1" w:rsidP="00087BF1">
      <w:pPr>
        <w:rPr>
          <w:lang w:val="en-US"/>
        </w:rPr>
      </w:pPr>
      <w:r w:rsidRPr="00087BF1">
        <w:rPr>
          <w:lang w:val="en-US"/>
        </w:rPr>
        <w:t>Multiple municipalities presented LED transition projects, often combined with smart control systems.</w:t>
      </w:r>
    </w:p>
    <w:p w14:paraId="106CF6A8" w14:textId="77777777" w:rsidR="00087BF1" w:rsidRPr="00087BF1" w:rsidRDefault="00087BF1" w:rsidP="00087BF1">
      <w:pPr>
        <w:rPr>
          <w:lang w:val="en-US"/>
        </w:rPr>
      </w:pPr>
      <w:r w:rsidRPr="005E37A9">
        <w:rPr>
          <w:b/>
          <w:bCs/>
          <w:lang w:val="en-US"/>
        </w:rPr>
        <w:t xml:space="preserve">The Commune of </w:t>
      </w:r>
      <w:proofErr w:type="spellStart"/>
      <w:r w:rsidRPr="005E37A9">
        <w:rPr>
          <w:b/>
          <w:bCs/>
          <w:lang w:val="en-US"/>
        </w:rPr>
        <w:t>Nefza</w:t>
      </w:r>
      <w:proofErr w:type="spellEnd"/>
      <w:r w:rsidRPr="00087BF1">
        <w:rPr>
          <w:lang w:val="en-US"/>
        </w:rPr>
        <w:t xml:space="preserve"> initiated a comprehensive LED replacement strategy integrated with smart lighting management. The project aims to reduce energy consumption while introducing digital monitoring. Following participation in the working group and financing dialogue in Tunis, </w:t>
      </w:r>
      <w:proofErr w:type="spellStart"/>
      <w:r w:rsidRPr="00087BF1">
        <w:rPr>
          <w:lang w:val="en-US"/>
        </w:rPr>
        <w:t>Nefza</w:t>
      </w:r>
      <w:proofErr w:type="spellEnd"/>
      <w:r w:rsidRPr="00087BF1">
        <w:rPr>
          <w:lang w:val="en-US"/>
        </w:rPr>
        <w:t xml:space="preserve"> </w:t>
      </w:r>
      <w:proofErr w:type="gramStart"/>
      <w:r w:rsidRPr="00087BF1">
        <w:rPr>
          <w:lang w:val="en-US"/>
        </w:rPr>
        <w:t>submitted an application</w:t>
      </w:r>
      <w:proofErr w:type="gramEnd"/>
      <w:r w:rsidRPr="00087BF1">
        <w:rPr>
          <w:lang w:val="en-US"/>
        </w:rPr>
        <w:t xml:space="preserve"> to the Gap Fund to secure structured project preparation support. This demonstrates a clear progression from concept to financing engagement.</w:t>
      </w:r>
    </w:p>
    <w:p w14:paraId="06D994E3" w14:textId="77777777" w:rsidR="005E37A9" w:rsidRDefault="005E37A9" w:rsidP="00087BF1">
      <w:pPr>
        <w:rPr>
          <w:b/>
          <w:bCs/>
          <w:lang w:val="en-US"/>
        </w:rPr>
      </w:pPr>
    </w:p>
    <w:p w14:paraId="3F3F38D0" w14:textId="288EBC46" w:rsidR="00087BF1" w:rsidRPr="00087BF1" w:rsidRDefault="00087BF1" w:rsidP="00087BF1">
      <w:pPr>
        <w:rPr>
          <w:lang w:val="en-US"/>
        </w:rPr>
      </w:pPr>
      <w:r w:rsidRPr="005E37A9">
        <w:rPr>
          <w:b/>
          <w:bCs/>
          <w:lang w:val="en-US"/>
        </w:rPr>
        <w:t xml:space="preserve">Hammamet </w:t>
      </w:r>
      <w:r w:rsidRPr="00087BF1">
        <w:rPr>
          <w:lang w:val="en-US"/>
        </w:rPr>
        <w:t>implemented partial LED retrofitting and complemented this with photovoltaic self-production ambitions. Energy audits conducted under national frameworks provided the initial technical basis for scaling.</w:t>
      </w:r>
    </w:p>
    <w:p w14:paraId="58EB440B" w14:textId="77777777" w:rsidR="005E37A9" w:rsidRDefault="005E37A9" w:rsidP="00087BF1">
      <w:pPr>
        <w:rPr>
          <w:b/>
          <w:bCs/>
          <w:lang w:val="en-US"/>
        </w:rPr>
      </w:pPr>
    </w:p>
    <w:p w14:paraId="77735CB9" w14:textId="64317891" w:rsidR="00087BF1" w:rsidRPr="00087BF1" w:rsidRDefault="00087BF1" w:rsidP="00087BF1">
      <w:pPr>
        <w:rPr>
          <w:lang w:val="en-US"/>
        </w:rPr>
      </w:pPr>
      <w:r w:rsidRPr="005E37A9">
        <w:rPr>
          <w:b/>
          <w:bCs/>
          <w:lang w:val="en-US"/>
        </w:rPr>
        <w:t>Kasungu and Lilongwe</w:t>
      </w:r>
      <w:r w:rsidRPr="00087BF1">
        <w:rPr>
          <w:lang w:val="en-US"/>
        </w:rPr>
        <w:t xml:space="preserve"> proposed transitions from grid-based street lighting toward solar-powered systems, particularly in market areas where service reliability is critical for economic activity and safety.</w:t>
      </w:r>
    </w:p>
    <w:p w14:paraId="5331D62F" w14:textId="77777777" w:rsidR="005E37A9" w:rsidRDefault="005E37A9" w:rsidP="00087BF1">
      <w:pPr>
        <w:rPr>
          <w:b/>
          <w:bCs/>
          <w:lang w:val="en-US"/>
        </w:rPr>
      </w:pPr>
    </w:p>
    <w:p w14:paraId="1FB92B42" w14:textId="549E2D04" w:rsidR="00087BF1" w:rsidRPr="00087BF1" w:rsidRDefault="00087BF1" w:rsidP="00087BF1">
      <w:pPr>
        <w:rPr>
          <w:lang w:val="en-US"/>
        </w:rPr>
      </w:pPr>
      <w:r w:rsidRPr="005E37A9">
        <w:rPr>
          <w:b/>
          <w:bCs/>
          <w:lang w:val="en-US"/>
        </w:rPr>
        <w:t>Mwanza</w:t>
      </w:r>
      <w:r w:rsidRPr="00087BF1">
        <w:rPr>
          <w:lang w:val="en-US"/>
        </w:rPr>
        <w:t xml:space="preserve"> explored expansion and modernization of existing lighting infrastructure, recognizing both fiscal and urban security benefits.</w:t>
      </w:r>
    </w:p>
    <w:p w14:paraId="1DBD34CE" w14:textId="77777777" w:rsidR="00087BF1" w:rsidRPr="00087BF1" w:rsidRDefault="00087BF1" w:rsidP="00087BF1">
      <w:pPr>
        <w:rPr>
          <w:lang w:val="en-US"/>
        </w:rPr>
      </w:pPr>
      <w:r w:rsidRPr="005E37A9">
        <w:rPr>
          <w:b/>
          <w:bCs/>
          <w:lang w:val="en-US"/>
        </w:rPr>
        <w:t xml:space="preserve">Gulu </w:t>
      </w:r>
      <w:r w:rsidRPr="00087BF1">
        <w:rPr>
          <w:lang w:val="en-US"/>
        </w:rPr>
        <w:t>emphasized solar lighting in green belt areas, demonstrating the integration of environmental and public safety objectives.</w:t>
      </w:r>
    </w:p>
    <w:p w14:paraId="2B04EC54" w14:textId="77777777" w:rsidR="005E37A9" w:rsidRDefault="005E37A9" w:rsidP="00087BF1">
      <w:pPr>
        <w:rPr>
          <w:b/>
          <w:bCs/>
          <w:lang w:val="en-US"/>
        </w:rPr>
      </w:pPr>
    </w:p>
    <w:p w14:paraId="7E9F94A7" w14:textId="39F299D9" w:rsidR="00087BF1" w:rsidRPr="000911EB" w:rsidRDefault="00087BF1" w:rsidP="005E37A9">
      <w:pPr>
        <w:pStyle w:val="Heading3"/>
        <w:rPr>
          <w:lang w:val="en-US"/>
        </w:rPr>
      </w:pPr>
      <w:r w:rsidRPr="000911EB">
        <w:rPr>
          <w:lang w:val="en-US"/>
        </w:rPr>
        <w:t>2.2 Mobility-Linked Renewable Infrastructure</w:t>
      </w:r>
    </w:p>
    <w:p w14:paraId="42FF6864" w14:textId="77777777" w:rsidR="005E37A9" w:rsidRDefault="005E37A9" w:rsidP="00087BF1">
      <w:pPr>
        <w:rPr>
          <w:lang w:val="en-US"/>
        </w:rPr>
      </w:pPr>
    </w:p>
    <w:p w14:paraId="4B16D85B" w14:textId="662F633F" w:rsidR="00087BF1" w:rsidRPr="00087BF1" w:rsidRDefault="00087BF1" w:rsidP="00087BF1">
      <w:pPr>
        <w:rPr>
          <w:lang w:val="en-US"/>
        </w:rPr>
      </w:pPr>
      <w:r w:rsidRPr="00087BF1">
        <w:rPr>
          <w:lang w:val="en-US"/>
        </w:rPr>
        <w:lastRenderedPageBreak/>
        <w:t xml:space="preserve">The Dar es Salaam event introduced a mobility-linked renewable energy dimension. Cities such as </w:t>
      </w:r>
      <w:r w:rsidRPr="005E37A9">
        <w:rPr>
          <w:b/>
          <w:bCs/>
          <w:lang w:val="en-US"/>
        </w:rPr>
        <w:t xml:space="preserve">Kisumu </w:t>
      </w:r>
      <w:r w:rsidRPr="00087BF1">
        <w:rPr>
          <w:lang w:val="en-US"/>
        </w:rPr>
        <w:t>examined the integration of e-mobility charging infrastructure powered by renewable systems.</w:t>
      </w:r>
    </w:p>
    <w:p w14:paraId="4677077B" w14:textId="77777777" w:rsidR="00087BF1" w:rsidRPr="00087BF1" w:rsidRDefault="00087BF1" w:rsidP="00087BF1">
      <w:r w:rsidRPr="00087BF1">
        <w:rPr>
          <w:lang w:val="en-US"/>
        </w:rPr>
        <w:t xml:space="preserve">This sector expands the renewable energy narrative beyond static infrastructure toward dynamic urban transport transition. </w:t>
      </w:r>
      <w:proofErr w:type="spellStart"/>
      <w:r w:rsidRPr="00087BF1">
        <w:t>However</w:t>
      </w:r>
      <w:proofErr w:type="spellEnd"/>
      <w:r w:rsidRPr="00087BF1">
        <w:t xml:space="preserve">, </w:t>
      </w:r>
      <w:proofErr w:type="spellStart"/>
      <w:r w:rsidRPr="00087BF1">
        <w:t>it</w:t>
      </w:r>
      <w:proofErr w:type="spellEnd"/>
      <w:r w:rsidRPr="00087BF1">
        <w:t xml:space="preserve"> also </w:t>
      </w:r>
      <w:proofErr w:type="spellStart"/>
      <w:r w:rsidRPr="00087BF1">
        <w:t>increases</w:t>
      </w:r>
      <w:proofErr w:type="spellEnd"/>
      <w:r w:rsidRPr="00087BF1">
        <w:t xml:space="preserve"> </w:t>
      </w:r>
      <w:proofErr w:type="spellStart"/>
      <w:r w:rsidRPr="00087BF1">
        <w:t>complexity</w:t>
      </w:r>
      <w:proofErr w:type="spellEnd"/>
      <w:r w:rsidRPr="00087BF1">
        <w:t>:</w:t>
      </w:r>
    </w:p>
    <w:p w14:paraId="5F66CD27" w14:textId="77777777" w:rsidR="00087BF1" w:rsidRPr="00087BF1" w:rsidRDefault="00087BF1" w:rsidP="00087BF1">
      <w:pPr>
        <w:numPr>
          <w:ilvl w:val="0"/>
          <w:numId w:val="21"/>
        </w:numPr>
      </w:pPr>
      <w:r w:rsidRPr="00087BF1">
        <w:t xml:space="preserve">Higher </w:t>
      </w:r>
      <w:proofErr w:type="spellStart"/>
      <w:r w:rsidRPr="00087BF1">
        <w:t>capital</w:t>
      </w:r>
      <w:proofErr w:type="spellEnd"/>
      <w:r w:rsidRPr="00087BF1">
        <w:t xml:space="preserve"> </w:t>
      </w:r>
      <w:proofErr w:type="spellStart"/>
      <w:r w:rsidRPr="00087BF1">
        <w:t>requirements</w:t>
      </w:r>
      <w:proofErr w:type="spellEnd"/>
    </w:p>
    <w:p w14:paraId="05D93859" w14:textId="77777777" w:rsidR="00087BF1" w:rsidRPr="00087BF1" w:rsidRDefault="00087BF1" w:rsidP="00087BF1">
      <w:pPr>
        <w:numPr>
          <w:ilvl w:val="0"/>
          <w:numId w:val="21"/>
        </w:numPr>
      </w:pPr>
      <w:proofErr w:type="spellStart"/>
      <w:r w:rsidRPr="00087BF1">
        <w:t>Grid</w:t>
      </w:r>
      <w:proofErr w:type="spellEnd"/>
      <w:r w:rsidRPr="00087BF1">
        <w:t xml:space="preserve"> </w:t>
      </w:r>
      <w:proofErr w:type="spellStart"/>
      <w:r w:rsidRPr="00087BF1">
        <w:t>interaction</w:t>
      </w:r>
      <w:proofErr w:type="spellEnd"/>
      <w:r w:rsidRPr="00087BF1">
        <w:t xml:space="preserve"> </w:t>
      </w:r>
      <w:proofErr w:type="spellStart"/>
      <w:r w:rsidRPr="00087BF1">
        <w:t>considerations</w:t>
      </w:r>
      <w:proofErr w:type="spellEnd"/>
    </w:p>
    <w:p w14:paraId="79536660" w14:textId="77777777" w:rsidR="00087BF1" w:rsidRPr="00087BF1" w:rsidRDefault="00087BF1" w:rsidP="00087BF1">
      <w:pPr>
        <w:numPr>
          <w:ilvl w:val="0"/>
          <w:numId w:val="21"/>
        </w:numPr>
      </w:pPr>
      <w:r w:rsidRPr="00087BF1">
        <w:t xml:space="preserve">Revenue </w:t>
      </w:r>
      <w:proofErr w:type="spellStart"/>
      <w:r w:rsidRPr="00087BF1">
        <w:t>model</w:t>
      </w:r>
      <w:proofErr w:type="spellEnd"/>
      <w:r w:rsidRPr="00087BF1">
        <w:t xml:space="preserve"> design</w:t>
      </w:r>
    </w:p>
    <w:p w14:paraId="0F8B6BFC" w14:textId="77777777" w:rsidR="00087BF1" w:rsidRPr="00087BF1" w:rsidRDefault="00087BF1" w:rsidP="00087BF1">
      <w:pPr>
        <w:numPr>
          <w:ilvl w:val="0"/>
          <w:numId w:val="21"/>
        </w:numPr>
      </w:pPr>
      <w:proofErr w:type="spellStart"/>
      <w:r w:rsidRPr="00087BF1">
        <w:t>Regulatory</w:t>
      </w:r>
      <w:proofErr w:type="spellEnd"/>
      <w:r w:rsidRPr="00087BF1">
        <w:t xml:space="preserve"> </w:t>
      </w:r>
      <w:proofErr w:type="spellStart"/>
      <w:r w:rsidRPr="00087BF1">
        <w:t>coordination</w:t>
      </w:r>
      <w:proofErr w:type="spellEnd"/>
    </w:p>
    <w:p w14:paraId="72BA66CE" w14:textId="77777777" w:rsidR="00087BF1" w:rsidRPr="00087BF1" w:rsidRDefault="00087BF1" w:rsidP="00087BF1">
      <w:pPr>
        <w:rPr>
          <w:lang w:val="en-US"/>
        </w:rPr>
      </w:pPr>
      <w:r w:rsidRPr="00087BF1">
        <w:rPr>
          <w:lang w:val="en-US"/>
        </w:rPr>
        <w:t>While mobility-linked renewable infrastructure remains at early conceptual stages in most municipalities, it signals an emerging second-generation renewable sector.</w:t>
      </w:r>
    </w:p>
    <w:p w14:paraId="5578E97E" w14:textId="77777777" w:rsidR="005E37A9" w:rsidRDefault="005E37A9" w:rsidP="00087BF1">
      <w:pPr>
        <w:rPr>
          <w:b/>
          <w:bCs/>
          <w:lang w:val="en-US"/>
        </w:rPr>
      </w:pPr>
    </w:p>
    <w:p w14:paraId="7406D8E1" w14:textId="5B548B82" w:rsidR="00087BF1" w:rsidRPr="000911EB" w:rsidRDefault="00087BF1" w:rsidP="005E37A9">
      <w:pPr>
        <w:pStyle w:val="Heading3"/>
        <w:rPr>
          <w:lang w:val="en-US"/>
        </w:rPr>
      </w:pPr>
      <w:r w:rsidRPr="000911EB">
        <w:rPr>
          <w:lang w:val="en-US"/>
        </w:rPr>
        <w:t>2.3 Investment Characteristics of Street Lighting Sector</w:t>
      </w:r>
    </w:p>
    <w:p w14:paraId="42C99805" w14:textId="77777777" w:rsidR="005E37A9" w:rsidRDefault="005E37A9" w:rsidP="00087BF1">
      <w:pPr>
        <w:rPr>
          <w:lang w:val="en-US"/>
        </w:rPr>
      </w:pPr>
    </w:p>
    <w:p w14:paraId="45BB2D3E" w14:textId="48F6E55A" w:rsidR="00087BF1" w:rsidRPr="00087BF1" w:rsidRDefault="00087BF1" w:rsidP="00087BF1">
      <w:pPr>
        <w:rPr>
          <w:lang w:val="en-US"/>
        </w:rPr>
      </w:pPr>
      <w:r w:rsidRPr="00087BF1">
        <w:rPr>
          <w:lang w:val="en-US"/>
        </w:rPr>
        <w:t>Street lighting modernization typically exhibits:</w:t>
      </w:r>
    </w:p>
    <w:p w14:paraId="38C386F4" w14:textId="77777777" w:rsidR="00087BF1" w:rsidRPr="00087BF1" w:rsidRDefault="00087BF1" w:rsidP="00087BF1">
      <w:pPr>
        <w:numPr>
          <w:ilvl w:val="0"/>
          <w:numId w:val="22"/>
        </w:numPr>
      </w:pPr>
      <w:r w:rsidRPr="00087BF1">
        <w:t>Moderate CAPEX</w:t>
      </w:r>
    </w:p>
    <w:p w14:paraId="401D19E7" w14:textId="77777777" w:rsidR="00087BF1" w:rsidRPr="00087BF1" w:rsidRDefault="00087BF1" w:rsidP="00087BF1">
      <w:pPr>
        <w:numPr>
          <w:ilvl w:val="0"/>
          <w:numId w:val="22"/>
        </w:numPr>
      </w:pPr>
      <w:r w:rsidRPr="00087BF1">
        <w:t xml:space="preserve">Clear OPEX </w:t>
      </w:r>
      <w:proofErr w:type="spellStart"/>
      <w:r w:rsidRPr="00087BF1">
        <w:t>savings</w:t>
      </w:r>
      <w:proofErr w:type="spellEnd"/>
    </w:p>
    <w:p w14:paraId="377795E6" w14:textId="77777777" w:rsidR="00087BF1" w:rsidRPr="00087BF1" w:rsidRDefault="00087BF1" w:rsidP="00087BF1">
      <w:pPr>
        <w:numPr>
          <w:ilvl w:val="0"/>
          <w:numId w:val="22"/>
        </w:numPr>
      </w:pPr>
      <w:r w:rsidRPr="00087BF1">
        <w:t xml:space="preserve">Strong </w:t>
      </w:r>
      <w:proofErr w:type="spellStart"/>
      <w:r w:rsidRPr="00087BF1">
        <w:t>political</w:t>
      </w:r>
      <w:proofErr w:type="spellEnd"/>
      <w:r w:rsidRPr="00087BF1">
        <w:t xml:space="preserve"> </w:t>
      </w:r>
      <w:proofErr w:type="spellStart"/>
      <w:r w:rsidRPr="00087BF1">
        <w:t>visibility</w:t>
      </w:r>
      <w:proofErr w:type="spellEnd"/>
    </w:p>
    <w:p w14:paraId="01BE7060" w14:textId="77777777" w:rsidR="00087BF1" w:rsidRPr="00087BF1" w:rsidRDefault="00087BF1" w:rsidP="00087BF1">
      <w:pPr>
        <w:numPr>
          <w:ilvl w:val="0"/>
          <w:numId w:val="22"/>
        </w:numPr>
      </w:pPr>
      <w:r w:rsidRPr="00087BF1">
        <w:t xml:space="preserve">Limited </w:t>
      </w:r>
      <w:proofErr w:type="spellStart"/>
      <w:r w:rsidRPr="00087BF1">
        <w:t>land</w:t>
      </w:r>
      <w:proofErr w:type="spellEnd"/>
      <w:r w:rsidRPr="00087BF1">
        <w:t xml:space="preserve"> </w:t>
      </w:r>
      <w:proofErr w:type="spellStart"/>
      <w:r w:rsidRPr="00087BF1">
        <w:t>requirements</w:t>
      </w:r>
      <w:proofErr w:type="spellEnd"/>
    </w:p>
    <w:p w14:paraId="01E9C1DC" w14:textId="77777777" w:rsidR="00087BF1" w:rsidRPr="00087BF1" w:rsidRDefault="00087BF1" w:rsidP="00087BF1">
      <w:pPr>
        <w:numPr>
          <w:ilvl w:val="0"/>
          <w:numId w:val="22"/>
        </w:numPr>
      </w:pPr>
      <w:proofErr w:type="spellStart"/>
      <w:r w:rsidRPr="00087BF1">
        <w:t>Replicability</w:t>
      </w:r>
      <w:proofErr w:type="spellEnd"/>
      <w:r w:rsidRPr="00087BF1">
        <w:t xml:space="preserve"> </w:t>
      </w:r>
      <w:proofErr w:type="spellStart"/>
      <w:r w:rsidRPr="00087BF1">
        <w:t>across</w:t>
      </w:r>
      <w:proofErr w:type="spellEnd"/>
      <w:r w:rsidRPr="00087BF1">
        <w:t xml:space="preserve"> </w:t>
      </w:r>
      <w:proofErr w:type="spellStart"/>
      <w:r w:rsidRPr="00087BF1">
        <w:t>municipalities</w:t>
      </w:r>
      <w:proofErr w:type="spellEnd"/>
    </w:p>
    <w:p w14:paraId="1FDA1C63" w14:textId="77777777" w:rsidR="005E37A9" w:rsidRDefault="005E37A9" w:rsidP="00087BF1">
      <w:pPr>
        <w:rPr>
          <w:lang w:val="en-US"/>
        </w:rPr>
      </w:pPr>
    </w:p>
    <w:p w14:paraId="7FBEC420" w14:textId="4AD9C7FD" w:rsidR="00087BF1" w:rsidRPr="00087BF1" w:rsidRDefault="00087BF1" w:rsidP="00087BF1">
      <w:pPr>
        <w:rPr>
          <w:lang w:val="en-US"/>
        </w:rPr>
      </w:pPr>
      <w:r w:rsidRPr="00087BF1">
        <w:rPr>
          <w:lang w:val="en-US"/>
        </w:rPr>
        <w:t>For development finance institutions, this sector represents a pragmatic entry point into municipal energy transition pipelines.</w:t>
      </w:r>
    </w:p>
    <w:p w14:paraId="54770118" w14:textId="77777777" w:rsidR="00087BF1" w:rsidRPr="00087BF1" w:rsidRDefault="00087BF1" w:rsidP="00087BF1">
      <w:pPr>
        <w:rPr>
          <w:lang w:val="en-US"/>
        </w:rPr>
      </w:pPr>
      <w:r w:rsidRPr="00087BF1">
        <w:rPr>
          <w:lang w:val="en-US"/>
        </w:rPr>
        <w:t>However, recurring gaps were identified:</w:t>
      </w:r>
    </w:p>
    <w:p w14:paraId="7471E9A1" w14:textId="77777777" w:rsidR="00087BF1" w:rsidRPr="00087BF1" w:rsidRDefault="00087BF1" w:rsidP="00087BF1">
      <w:pPr>
        <w:numPr>
          <w:ilvl w:val="0"/>
          <w:numId w:val="23"/>
        </w:numPr>
      </w:pPr>
      <w:r w:rsidRPr="00087BF1">
        <w:t xml:space="preserve">Absence of </w:t>
      </w:r>
      <w:proofErr w:type="spellStart"/>
      <w:r w:rsidRPr="00087BF1">
        <w:t>detailed</w:t>
      </w:r>
      <w:proofErr w:type="spellEnd"/>
      <w:r w:rsidRPr="00087BF1">
        <w:t xml:space="preserve"> </w:t>
      </w:r>
      <w:proofErr w:type="spellStart"/>
      <w:r w:rsidRPr="00087BF1">
        <w:t>feasibility</w:t>
      </w:r>
      <w:proofErr w:type="spellEnd"/>
      <w:r w:rsidRPr="00087BF1">
        <w:t xml:space="preserve"> </w:t>
      </w:r>
      <w:proofErr w:type="spellStart"/>
      <w:r w:rsidRPr="00087BF1">
        <w:t>studies</w:t>
      </w:r>
      <w:proofErr w:type="spellEnd"/>
    </w:p>
    <w:p w14:paraId="511CC59D" w14:textId="77777777" w:rsidR="00087BF1" w:rsidRPr="00087BF1" w:rsidRDefault="00087BF1" w:rsidP="00087BF1">
      <w:pPr>
        <w:numPr>
          <w:ilvl w:val="0"/>
          <w:numId w:val="23"/>
        </w:numPr>
      </w:pPr>
      <w:r w:rsidRPr="00087BF1">
        <w:t xml:space="preserve">Limited </w:t>
      </w:r>
      <w:proofErr w:type="spellStart"/>
      <w:r w:rsidRPr="00087BF1">
        <w:t>financial</w:t>
      </w:r>
      <w:proofErr w:type="spellEnd"/>
      <w:r w:rsidRPr="00087BF1">
        <w:t xml:space="preserve"> </w:t>
      </w:r>
      <w:proofErr w:type="spellStart"/>
      <w:r w:rsidRPr="00087BF1">
        <w:t>modeling</w:t>
      </w:r>
      <w:proofErr w:type="spellEnd"/>
      <w:r w:rsidRPr="00087BF1">
        <w:t xml:space="preserve"> of </w:t>
      </w:r>
      <w:proofErr w:type="spellStart"/>
      <w:r w:rsidRPr="00087BF1">
        <w:t>savings</w:t>
      </w:r>
      <w:proofErr w:type="spellEnd"/>
    </w:p>
    <w:p w14:paraId="57D60940" w14:textId="77777777" w:rsidR="00087BF1" w:rsidRPr="00087BF1" w:rsidRDefault="00087BF1" w:rsidP="00087BF1">
      <w:pPr>
        <w:numPr>
          <w:ilvl w:val="0"/>
          <w:numId w:val="23"/>
        </w:numPr>
      </w:pPr>
      <w:r w:rsidRPr="00087BF1">
        <w:t xml:space="preserve">Weak O&amp;M </w:t>
      </w:r>
      <w:proofErr w:type="spellStart"/>
      <w:r w:rsidRPr="00087BF1">
        <w:t>structuring</w:t>
      </w:r>
      <w:proofErr w:type="spellEnd"/>
    </w:p>
    <w:p w14:paraId="492DC7B2" w14:textId="77777777" w:rsidR="00087BF1" w:rsidRPr="00087BF1" w:rsidRDefault="00087BF1" w:rsidP="00087BF1">
      <w:pPr>
        <w:numPr>
          <w:ilvl w:val="0"/>
          <w:numId w:val="23"/>
        </w:numPr>
      </w:pPr>
      <w:proofErr w:type="spellStart"/>
      <w:r w:rsidRPr="00087BF1">
        <w:t>Procurement</w:t>
      </w:r>
      <w:proofErr w:type="spellEnd"/>
      <w:r w:rsidRPr="00087BF1">
        <w:t xml:space="preserve"> </w:t>
      </w:r>
      <w:proofErr w:type="spellStart"/>
      <w:r w:rsidRPr="00087BF1">
        <w:t>planning</w:t>
      </w:r>
      <w:proofErr w:type="spellEnd"/>
      <w:r w:rsidRPr="00087BF1">
        <w:t xml:space="preserve"> </w:t>
      </w:r>
      <w:proofErr w:type="spellStart"/>
      <w:r w:rsidRPr="00087BF1">
        <w:t>gaps</w:t>
      </w:r>
      <w:proofErr w:type="spellEnd"/>
    </w:p>
    <w:p w14:paraId="7C52E3A2" w14:textId="77777777" w:rsidR="00087BF1" w:rsidRPr="00087BF1" w:rsidRDefault="00087BF1" w:rsidP="00087BF1">
      <w:pPr>
        <w:rPr>
          <w:lang w:val="en-US"/>
        </w:rPr>
      </w:pPr>
      <w:r w:rsidRPr="00087BF1">
        <w:rPr>
          <w:lang w:val="en-US"/>
        </w:rPr>
        <w:t>The working group discussions emphasized the need to structure lighting projects not as isolated procurement actions but as multi-year investment programs.</w:t>
      </w:r>
    </w:p>
    <w:p w14:paraId="7C3D29B9" w14:textId="77777777" w:rsidR="005E37A9" w:rsidRDefault="005E37A9" w:rsidP="00087BF1">
      <w:pPr>
        <w:rPr>
          <w:b/>
          <w:bCs/>
          <w:lang w:val="en-US"/>
        </w:rPr>
      </w:pPr>
    </w:p>
    <w:p w14:paraId="4BA2B6C1" w14:textId="77777777" w:rsidR="005E37A9" w:rsidRDefault="005E37A9" w:rsidP="00087BF1">
      <w:pPr>
        <w:rPr>
          <w:b/>
          <w:bCs/>
          <w:lang w:val="en-US"/>
        </w:rPr>
      </w:pPr>
    </w:p>
    <w:p w14:paraId="2A5661B3" w14:textId="0D7FD5E3" w:rsidR="00087BF1" w:rsidRPr="000911EB" w:rsidRDefault="00087BF1" w:rsidP="005E37A9">
      <w:pPr>
        <w:pStyle w:val="Heading3"/>
        <w:rPr>
          <w:lang w:val="en-US"/>
        </w:rPr>
      </w:pPr>
      <w:r w:rsidRPr="000911EB">
        <w:rPr>
          <w:lang w:val="en-US"/>
        </w:rPr>
        <w:t>3. Sector II – Rooftop PV for Public Buildings</w:t>
      </w:r>
    </w:p>
    <w:p w14:paraId="6E45C99A" w14:textId="77777777" w:rsidR="005E37A9" w:rsidRDefault="005E37A9" w:rsidP="00087BF1">
      <w:pPr>
        <w:rPr>
          <w:lang w:val="en-US"/>
        </w:rPr>
      </w:pPr>
    </w:p>
    <w:p w14:paraId="4EEEEC30" w14:textId="51A97DA3" w:rsidR="00087BF1" w:rsidRPr="00087BF1" w:rsidRDefault="00087BF1" w:rsidP="00087BF1">
      <w:pPr>
        <w:rPr>
          <w:lang w:val="en-US"/>
        </w:rPr>
      </w:pPr>
      <w:r w:rsidRPr="00087BF1">
        <w:rPr>
          <w:lang w:val="en-US"/>
        </w:rPr>
        <w:t>Rooftop photovoltaic systems for municipal buildings constitute the second major renewable sector across participating cities.</w:t>
      </w:r>
    </w:p>
    <w:p w14:paraId="67556250" w14:textId="77777777" w:rsidR="005E37A9" w:rsidRDefault="005E37A9" w:rsidP="00087BF1">
      <w:pPr>
        <w:rPr>
          <w:b/>
          <w:bCs/>
          <w:lang w:val="en-US"/>
        </w:rPr>
      </w:pPr>
    </w:p>
    <w:p w14:paraId="3EE7D750" w14:textId="1F49A541" w:rsidR="00087BF1" w:rsidRPr="000911EB" w:rsidRDefault="00087BF1" w:rsidP="005E37A9">
      <w:pPr>
        <w:pStyle w:val="Heading3"/>
        <w:rPr>
          <w:lang w:val="en-US"/>
        </w:rPr>
      </w:pPr>
      <w:r w:rsidRPr="000911EB">
        <w:rPr>
          <w:lang w:val="en-US"/>
        </w:rPr>
        <w:t>3.1 Climate Plan Integration</w:t>
      </w:r>
    </w:p>
    <w:p w14:paraId="1397B331" w14:textId="77777777" w:rsidR="005E37A9" w:rsidRDefault="005E37A9" w:rsidP="00087BF1">
      <w:pPr>
        <w:rPr>
          <w:lang w:val="en-US"/>
        </w:rPr>
      </w:pPr>
    </w:p>
    <w:p w14:paraId="5F3BE4CA" w14:textId="616FA848" w:rsidR="00087BF1" w:rsidRPr="00087BF1" w:rsidRDefault="00087BF1" w:rsidP="00087BF1">
      <w:pPr>
        <w:rPr>
          <w:lang w:val="en-US"/>
        </w:rPr>
      </w:pPr>
      <w:r w:rsidRPr="005E37A9">
        <w:rPr>
          <w:b/>
          <w:bCs/>
          <w:lang w:val="en-US"/>
        </w:rPr>
        <w:t xml:space="preserve">Nabeul </w:t>
      </w:r>
      <w:r w:rsidRPr="00087BF1">
        <w:rPr>
          <w:lang w:val="en-US"/>
        </w:rPr>
        <w:t>demonstrated alignment between rooftop PV projects and its municipal climate action plan (PAAEDC). The integration of PV investments into formal mitigation strategies strengthens policy coherence and financing credibility.</w:t>
      </w:r>
    </w:p>
    <w:p w14:paraId="5A8E9097" w14:textId="77777777" w:rsidR="005E37A9" w:rsidRDefault="005E37A9" w:rsidP="00087BF1">
      <w:pPr>
        <w:rPr>
          <w:lang w:val="en-US"/>
        </w:rPr>
      </w:pPr>
    </w:p>
    <w:p w14:paraId="17C4F33A" w14:textId="3DC21AE5" w:rsidR="00087BF1" w:rsidRDefault="00087BF1" w:rsidP="00087BF1">
      <w:pPr>
        <w:rPr>
          <w:lang w:val="en-US"/>
        </w:rPr>
      </w:pPr>
      <w:r w:rsidRPr="005E37A9">
        <w:rPr>
          <w:b/>
          <w:bCs/>
          <w:lang w:val="en-US"/>
        </w:rPr>
        <w:t>Mahdia</w:t>
      </w:r>
      <w:r w:rsidRPr="00087BF1">
        <w:rPr>
          <w:lang w:val="en-US"/>
        </w:rPr>
        <w:t xml:space="preserve"> installed PV systems on municipal sports complexes, targeting direct operational cost reductions.</w:t>
      </w:r>
    </w:p>
    <w:p w14:paraId="090C164F" w14:textId="77777777" w:rsidR="005E37A9" w:rsidRPr="00087BF1" w:rsidRDefault="005E37A9" w:rsidP="00087BF1">
      <w:pPr>
        <w:rPr>
          <w:lang w:val="en-US"/>
        </w:rPr>
      </w:pPr>
    </w:p>
    <w:p w14:paraId="79B3A360" w14:textId="77777777" w:rsidR="00087BF1" w:rsidRDefault="00087BF1" w:rsidP="00087BF1">
      <w:pPr>
        <w:rPr>
          <w:lang w:val="en-US"/>
        </w:rPr>
      </w:pPr>
      <w:r w:rsidRPr="005E37A9">
        <w:rPr>
          <w:b/>
          <w:bCs/>
          <w:lang w:val="en-US"/>
        </w:rPr>
        <w:t>Tozeur</w:t>
      </w:r>
      <w:r w:rsidRPr="00087BF1">
        <w:rPr>
          <w:lang w:val="en-US"/>
        </w:rPr>
        <w:t xml:space="preserve"> represents one of the most advanced preparation cases, having initiated partial installations and conducted structured assessments for scaling.</w:t>
      </w:r>
    </w:p>
    <w:p w14:paraId="08A512FB" w14:textId="77777777" w:rsidR="005E37A9" w:rsidRPr="00087BF1" w:rsidRDefault="005E37A9" w:rsidP="00087BF1">
      <w:pPr>
        <w:rPr>
          <w:lang w:val="en-US"/>
        </w:rPr>
      </w:pPr>
    </w:p>
    <w:p w14:paraId="7B8F99A0" w14:textId="77777777" w:rsidR="00087BF1" w:rsidRDefault="00087BF1" w:rsidP="00087BF1">
      <w:pPr>
        <w:rPr>
          <w:lang w:val="en-US"/>
        </w:rPr>
      </w:pPr>
      <w:r w:rsidRPr="005E37A9">
        <w:rPr>
          <w:b/>
          <w:bCs/>
          <w:lang w:val="en-US"/>
        </w:rPr>
        <w:t>Nairobi and Baringo</w:t>
      </w:r>
      <w:r w:rsidRPr="00087BF1">
        <w:rPr>
          <w:lang w:val="en-US"/>
        </w:rPr>
        <w:t xml:space="preserve"> explored solarization of public facilities, including markets and administrative buildings.</w:t>
      </w:r>
    </w:p>
    <w:p w14:paraId="090A4464" w14:textId="77777777" w:rsidR="005E37A9" w:rsidRPr="00087BF1" w:rsidRDefault="005E37A9" w:rsidP="00087BF1">
      <w:pPr>
        <w:rPr>
          <w:lang w:val="en-US"/>
        </w:rPr>
      </w:pPr>
    </w:p>
    <w:p w14:paraId="4F0583CA" w14:textId="77777777" w:rsidR="00087BF1" w:rsidRPr="000911EB" w:rsidRDefault="00087BF1" w:rsidP="005E37A9">
      <w:pPr>
        <w:pStyle w:val="Heading3"/>
        <w:rPr>
          <w:lang w:val="en-US"/>
        </w:rPr>
      </w:pPr>
      <w:r w:rsidRPr="000911EB">
        <w:rPr>
          <w:lang w:val="en-US"/>
        </w:rPr>
        <w:lastRenderedPageBreak/>
        <w:t>3.2 Bankability Profile</w:t>
      </w:r>
    </w:p>
    <w:p w14:paraId="078A9658" w14:textId="77777777" w:rsidR="005E37A9" w:rsidRDefault="005E37A9" w:rsidP="00087BF1">
      <w:pPr>
        <w:rPr>
          <w:lang w:val="en-US"/>
        </w:rPr>
      </w:pPr>
    </w:p>
    <w:p w14:paraId="219DAF2E" w14:textId="41FC4FB4" w:rsidR="00087BF1" w:rsidRPr="00087BF1" w:rsidRDefault="00087BF1" w:rsidP="00087BF1">
      <w:pPr>
        <w:rPr>
          <w:lang w:val="en-US"/>
        </w:rPr>
      </w:pPr>
      <w:r w:rsidRPr="00087BF1">
        <w:rPr>
          <w:lang w:val="en-US"/>
        </w:rPr>
        <w:t>Compared to larger-scale PV concepts, rooftop systems offer:</w:t>
      </w:r>
    </w:p>
    <w:p w14:paraId="39564689" w14:textId="77777777" w:rsidR="00087BF1" w:rsidRPr="00087BF1" w:rsidRDefault="00087BF1" w:rsidP="00087BF1">
      <w:pPr>
        <w:numPr>
          <w:ilvl w:val="0"/>
          <w:numId w:val="24"/>
        </w:numPr>
      </w:pPr>
      <w:r w:rsidRPr="00087BF1">
        <w:t xml:space="preserve">Lower environmental </w:t>
      </w:r>
      <w:proofErr w:type="spellStart"/>
      <w:r w:rsidRPr="00087BF1">
        <w:t>permitting</w:t>
      </w:r>
      <w:proofErr w:type="spellEnd"/>
      <w:r w:rsidRPr="00087BF1">
        <w:t xml:space="preserve"> </w:t>
      </w:r>
      <w:proofErr w:type="spellStart"/>
      <w:r w:rsidRPr="00087BF1">
        <w:t>complexity</w:t>
      </w:r>
      <w:proofErr w:type="spellEnd"/>
    </w:p>
    <w:p w14:paraId="3DDCD2E8" w14:textId="77777777" w:rsidR="00087BF1" w:rsidRPr="00087BF1" w:rsidRDefault="00087BF1" w:rsidP="00087BF1">
      <w:pPr>
        <w:numPr>
          <w:ilvl w:val="0"/>
          <w:numId w:val="24"/>
        </w:numPr>
      </w:pPr>
      <w:proofErr w:type="spellStart"/>
      <w:r w:rsidRPr="00087BF1">
        <w:t>Easier</w:t>
      </w:r>
      <w:proofErr w:type="spellEnd"/>
      <w:r w:rsidRPr="00087BF1">
        <w:t xml:space="preserve"> </w:t>
      </w:r>
      <w:proofErr w:type="spellStart"/>
      <w:r w:rsidRPr="00087BF1">
        <w:t>grid</w:t>
      </w:r>
      <w:proofErr w:type="spellEnd"/>
      <w:r w:rsidRPr="00087BF1">
        <w:t xml:space="preserve"> </w:t>
      </w:r>
      <w:proofErr w:type="spellStart"/>
      <w:r w:rsidRPr="00087BF1">
        <w:t>integration</w:t>
      </w:r>
      <w:proofErr w:type="spellEnd"/>
    </w:p>
    <w:p w14:paraId="5B93DFA7" w14:textId="77777777" w:rsidR="00087BF1" w:rsidRPr="00087BF1" w:rsidRDefault="00087BF1" w:rsidP="00087BF1">
      <w:pPr>
        <w:numPr>
          <w:ilvl w:val="0"/>
          <w:numId w:val="24"/>
        </w:numPr>
      </w:pPr>
      <w:proofErr w:type="spellStart"/>
      <w:r w:rsidRPr="00087BF1">
        <w:t>Phased</w:t>
      </w:r>
      <w:proofErr w:type="spellEnd"/>
      <w:r w:rsidRPr="00087BF1">
        <w:t xml:space="preserve"> </w:t>
      </w:r>
      <w:proofErr w:type="spellStart"/>
      <w:r w:rsidRPr="00087BF1">
        <w:t>implementation</w:t>
      </w:r>
      <w:proofErr w:type="spellEnd"/>
      <w:r w:rsidRPr="00087BF1">
        <w:t xml:space="preserve"> </w:t>
      </w:r>
      <w:proofErr w:type="spellStart"/>
      <w:r w:rsidRPr="00087BF1">
        <w:t>options</w:t>
      </w:r>
      <w:proofErr w:type="spellEnd"/>
    </w:p>
    <w:p w14:paraId="52F7ED8C" w14:textId="77777777" w:rsidR="00087BF1" w:rsidRPr="00087BF1" w:rsidRDefault="00087BF1" w:rsidP="00087BF1">
      <w:pPr>
        <w:numPr>
          <w:ilvl w:val="0"/>
          <w:numId w:val="24"/>
        </w:numPr>
      </w:pPr>
      <w:r w:rsidRPr="00087BF1">
        <w:t xml:space="preserve">Strong </w:t>
      </w:r>
      <w:proofErr w:type="spellStart"/>
      <w:r w:rsidRPr="00087BF1">
        <w:t>climate</w:t>
      </w:r>
      <w:proofErr w:type="spellEnd"/>
      <w:r w:rsidRPr="00087BF1">
        <w:t xml:space="preserve"> </w:t>
      </w:r>
      <w:proofErr w:type="spellStart"/>
      <w:r w:rsidRPr="00087BF1">
        <w:t>mitigation</w:t>
      </w:r>
      <w:proofErr w:type="spellEnd"/>
      <w:r w:rsidRPr="00087BF1">
        <w:t xml:space="preserve"> narrative</w:t>
      </w:r>
    </w:p>
    <w:p w14:paraId="70D96EB0" w14:textId="77777777" w:rsidR="005E37A9" w:rsidRDefault="005E37A9" w:rsidP="00087BF1">
      <w:pPr>
        <w:rPr>
          <w:lang w:val="en-US"/>
        </w:rPr>
      </w:pPr>
    </w:p>
    <w:p w14:paraId="0C60F292" w14:textId="6AB65B4C" w:rsidR="00087BF1" w:rsidRPr="00087BF1" w:rsidRDefault="00087BF1" w:rsidP="00087BF1">
      <w:pPr>
        <w:rPr>
          <w:lang w:val="en-US"/>
        </w:rPr>
      </w:pPr>
      <w:r w:rsidRPr="00087BF1">
        <w:rPr>
          <w:lang w:val="en-US"/>
        </w:rPr>
        <w:t>However, successful scaling depends on:</w:t>
      </w:r>
    </w:p>
    <w:p w14:paraId="7E46954A" w14:textId="77777777" w:rsidR="00087BF1" w:rsidRPr="00087BF1" w:rsidRDefault="00087BF1" w:rsidP="00087BF1">
      <w:pPr>
        <w:numPr>
          <w:ilvl w:val="0"/>
          <w:numId w:val="25"/>
        </w:numPr>
      </w:pPr>
      <w:proofErr w:type="spellStart"/>
      <w:r w:rsidRPr="00087BF1">
        <w:t>Detailed</w:t>
      </w:r>
      <w:proofErr w:type="spellEnd"/>
      <w:r w:rsidRPr="00087BF1">
        <w:t xml:space="preserve"> </w:t>
      </w:r>
      <w:proofErr w:type="spellStart"/>
      <w:r w:rsidRPr="00087BF1">
        <w:t>energy</w:t>
      </w:r>
      <w:proofErr w:type="spellEnd"/>
      <w:r w:rsidRPr="00087BF1">
        <w:t xml:space="preserve"> </w:t>
      </w:r>
      <w:proofErr w:type="spellStart"/>
      <w:r w:rsidRPr="00087BF1">
        <w:t>audits</w:t>
      </w:r>
      <w:proofErr w:type="spellEnd"/>
    </w:p>
    <w:p w14:paraId="74DA384F" w14:textId="77777777" w:rsidR="00087BF1" w:rsidRPr="00087BF1" w:rsidRDefault="00087BF1" w:rsidP="00087BF1">
      <w:pPr>
        <w:numPr>
          <w:ilvl w:val="0"/>
          <w:numId w:val="25"/>
        </w:numPr>
      </w:pPr>
      <w:proofErr w:type="spellStart"/>
      <w:r w:rsidRPr="00087BF1">
        <w:t>Structural</w:t>
      </w:r>
      <w:proofErr w:type="spellEnd"/>
      <w:r w:rsidRPr="00087BF1">
        <w:t xml:space="preserve"> </w:t>
      </w:r>
      <w:proofErr w:type="spellStart"/>
      <w:r w:rsidRPr="00087BF1">
        <w:t>assessment</w:t>
      </w:r>
      <w:proofErr w:type="spellEnd"/>
      <w:r w:rsidRPr="00087BF1">
        <w:t xml:space="preserve"> of </w:t>
      </w:r>
      <w:proofErr w:type="spellStart"/>
      <w:r w:rsidRPr="00087BF1">
        <w:t>buildings</w:t>
      </w:r>
      <w:proofErr w:type="spellEnd"/>
    </w:p>
    <w:p w14:paraId="72AF156C" w14:textId="77777777" w:rsidR="00087BF1" w:rsidRPr="00087BF1" w:rsidRDefault="00087BF1" w:rsidP="00087BF1">
      <w:pPr>
        <w:numPr>
          <w:ilvl w:val="0"/>
          <w:numId w:val="25"/>
        </w:numPr>
      </w:pPr>
      <w:r w:rsidRPr="00087BF1">
        <w:t xml:space="preserve">Financial </w:t>
      </w:r>
      <w:proofErr w:type="spellStart"/>
      <w:r w:rsidRPr="00087BF1">
        <w:t>modeling</w:t>
      </w:r>
      <w:proofErr w:type="spellEnd"/>
      <w:r w:rsidRPr="00087BF1">
        <w:t xml:space="preserve"> of </w:t>
      </w:r>
      <w:proofErr w:type="spellStart"/>
      <w:r w:rsidRPr="00087BF1">
        <w:t>payback</w:t>
      </w:r>
      <w:proofErr w:type="spellEnd"/>
      <w:r w:rsidRPr="00087BF1">
        <w:t xml:space="preserve"> </w:t>
      </w:r>
      <w:proofErr w:type="spellStart"/>
      <w:r w:rsidRPr="00087BF1">
        <w:t>periods</w:t>
      </w:r>
      <w:proofErr w:type="spellEnd"/>
    </w:p>
    <w:p w14:paraId="41D5D1A3" w14:textId="77777777" w:rsidR="00087BF1" w:rsidRPr="00087BF1" w:rsidRDefault="00087BF1" w:rsidP="00087BF1">
      <w:pPr>
        <w:numPr>
          <w:ilvl w:val="0"/>
          <w:numId w:val="25"/>
        </w:numPr>
      </w:pPr>
      <w:proofErr w:type="spellStart"/>
      <w:r w:rsidRPr="00087BF1">
        <w:t>Procurement</w:t>
      </w:r>
      <w:proofErr w:type="spellEnd"/>
      <w:r w:rsidRPr="00087BF1">
        <w:t xml:space="preserve"> </w:t>
      </w:r>
      <w:proofErr w:type="spellStart"/>
      <w:r w:rsidRPr="00087BF1">
        <w:t>standardization</w:t>
      </w:r>
      <w:proofErr w:type="spellEnd"/>
    </w:p>
    <w:p w14:paraId="42D8285D" w14:textId="77777777" w:rsidR="00087BF1" w:rsidRDefault="00087BF1" w:rsidP="00087BF1">
      <w:pPr>
        <w:rPr>
          <w:lang w:val="en-US"/>
        </w:rPr>
      </w:pPr>
      <w:r w:rsidRPr="00087BF1">
        <w:rPr>
          <w:lang w:val="en-US"/>
        </w:rPr>
        <w:t>The working group reinforced that rooftop PV can evolve into portfolio-level investment programs if structured systematically across municipal assets.</w:t>
      </w:r>
    </w:p>
    <w:p w14:paraId="4E08BB72" w14:textId="77777777" w:rsidR="005E37A9" w:rsidRPr="00087BF1" w:rsidRDefault="005E37A9" w:rsidP="00087BF1">
      <w:pPr>
        <w:rPr>
          <w:lang w:val="en-US"/>
        </w:rPr>
      </w:pPr>
    </w:p>
    <w:p w14:paraId="598D3AEC" w14:textId="60784E58" w:rsidR="00087BF1" w:rsidRPr="00087BF1" w:rsidRDefault="00087BF1" w:rsidP="005E37A9">
      <w:pPr>
        <w:pStyle w:val="Heading2"/>
        <w:rPr>
          <w:lang w:val="en-US"/>
        </w:rPr>
      </w:pPr>
      <w:r w:rsidRPr="00087BF1">
        <w:rPr>
          <w:lang w:val="en-US"/>
        </w:rPr>
        <w:t>4. Sector III – Larger-Scale PV and Hybrid Systems</w:t>
      </w:r>
    </w:p>
    <w:p w14:paraId="5086E44A" w14:textId="77777777" w:rsidR="005E37A9" w:rsidRDefault="005E37A9" w:rsidP="00087BF1">
      <w:pPr>
        <w:rPr>
          <w:lang w:val="en-US"/>
        </w:rPr>
      </w:pPr>
    </w:p>
    <w:p w14:paraId="1A1A5052" w14:textId="1B601809" w:rsidR="00087BF1" w:rsidRPr="00087BF1" w:rsidRDefault="00087BF1" w:rsidP="00087BF1">
      <w:pPr>
        <w:rPr>
          <w:lang w:val="en-US"/>
        </w:rPr>
      </w:pPr>
      <w:r w:rsidRPr="00087BF1">
        <w:rPr>
          <w:lang w:val="en-US"/>
        </w:rPr>
        <w:t>The third sector reflects long-term ambition: centralized PV plants or hybrid renewable models supplying municipal infrastructure.</w:t>
      </w:r>
    </w:p>
    <w:p w14:paraId="6E332DCE" w14:textId="77777777" w:rsidR="005E37A9" w:rsidRDefault="005E37A9" w:rsidP="00087BF1">
      <w:pPr>
        <w:rPr>
          <w:lang w:val="en-US"/>
        </w:rPr>
      </w:pPr>
    </w:p>
    <w:p w14:paraId="7E88126E" w14:textId="61F0CE9C" w:rsidR="00087BF1" w:rsidRPr="00087BF1" w:rsidRDefault="00087BF1" w:rsidP="00087BF1">
      <w:pPr>
        <w:rPr>
          <w:lang w:val="en-US"/>
        </w:rPr>
      </w:pPr>
      <w:r w:rsidRPr="00087BF1">
        <w:rPr>
          <w:lang w:val="en-US"/>
        </w:rPr>
        <w:t xml:space="preserve">The </w:t>
      </w:r>
      <w:r w:rsidRPr="005E37A9">
        <w:rPr>
          <w:b/>
          <w:bCs/>
          <w:lang w:val="en-US"/>
        </w:rPr>
        <w:t>Commune of Kef</w:t>
      </w:r>
      <w:r w:rsidRPr="00087BF1">
        <w:rPr>
          <w:lang w:val="en-US"/>
        </w:rPr>
        <w:t xml:space="preserve"> proposed a large-scale PV installation intended to supply public lighting infrastructure. With significant land availability and clear political commitment, the concept demonstrates scaling ambition toward energy self-sufficiency.</w:t>
      </w:r>
    </w:p>
    <w:p w14:paraId="5D65F60D" w14:textId="77777777" w:rsidR="005E37A9" w:rsidRDefault="005E37A9" w:rsidP="00087BF1">
      <w:pPr>
        <w:rPr>
          <w:b/>
          <w:bCs/>
          <w:lang w:val="en-US"/>
        </w:rPr>
      </w:pPr>
    </w:p>
    <w:p w14:paraId="45381274" w14:textId="3C7130B2" w:rsidR="00087BF1" w:rsidRPr="00087BF1" w:rsidRDefault="00087BF1" w:rsidP="00087BF1">
      <w:pPr>
        <w:rPr>
          <w:lang w:val="en-US"/>
        </w:rPr>
      </w:pPr>
      <w:r w:rsidRPr="005E37A9">
        <w:rPr>
          <w:b/>
          <w:bCs/>
          <w:lang w:val="en-US"/>
        </w:rPr>
        <w:t>La Marsa</w:t>
      </w:r>
      <w:r w:rsidRPr="00087BF1">
        <w:rPr>
          <w:lang w:val="en-US"/>
        </w:rPr>
        <w:t xml:space="preserve"> introduced a hybrid model integrating waste-to-energy components within broader transition planning.</w:t>
      </w:r>
    </w:p>
    <w:p w14:paraId="4B78D9D1" w14:textId="77777777" w:rsidR="005E37A9" w:rsidRDefault="005E37A9" w:rsidP="00087BF1">
      <w:pPr>
        <w:rPr>
          <w:lang w:val="en-US"/>
        </w:rPr>
      </w:pPr>
    </w:p>
    <w:p w14:paraId="1328B5CC" w14:textId="2B9D4550" w:rsidR="00087BF1" w:rsidRPr="00087BF1" w:rsidRDefault="00087BF1" w:rsidP="00087BF1">
      <w:pPr>
        <w:rPr>
          <w:lang w:val="en-US"/>
        </w:rPr>
      </w:pPr>
      <w:r w:rsidRPr="005E37A9">
        <w:rPr>
          <w:b/>
          <w:bCs/>
          <w:lang w:val="en-US"/>
        </w:rPr>
        <w:t>Baringo</w:t>
      </w:r>
      <w:r w:rsidRPr="00087BF1">
        <w:rPr>
          <w:lang w:val="en-US"/>
        </w:rPr>
        <w:t xml:space="preserve"> explored solar-powered water systems, illustrating the linkage between energy and service delivery.</w:t>
      </w:r>
    </w:p>
    <w:p w14:paraId="1BD31BCB" w14:textId="77777777" w:rsidR="00087BF1" w:rsidRPr="00087BF1" w:rsidRDefault="00087BF1" w:rsidP="005E37A9">
      <w:pPr>
        <w:pStyle w:val="Heading3"/>
        <w:rPr>
          <w:lang w:val="en-US"/>
        </w:rPr>
      </w:pPr>
      <w:r w:rsidRPr="00087BF1">
        <w:rPr>
          <w:lang w:val="en-US"/>
        </w:rPr>
        <w:t>4.1 Investment Complexity</w:t>
      </w:r>
    </w:p>
    <w:p w14:paraId="761F90F7" w14:textId="77777777" w:rsidR="005E37A9" w:rsidRDefault="005E37A9" w:rsidP="00087BF1">
      <w:pPr>
        <w:rPr>
          <w:lang w:val="en-US"/>
        </w:rPr>
      </w:pPr>
    </w:p>
    <w:p w14:paraId="0CDDF591" w14:textId="0FC79158" w:rsidR="00087BF1" w:rsidRPr="00087BF1" w:rsidRDefault="00087BF1" w:rsidP="00087BF1">
      <w:pPr>
        <w:rPr>
          <w:lang w:val="en-US"/>
        </w:rPr>
      </w:pPr>
      <w:r w:rsidRPr="00087BF1">
        <w:rPr>
          <w:lang w:val="en-US"/>
        </w:rPr>
        <w:t>These larger-scale projects involve:</w:t>
      </w:r>
    </w:p>
    <w:p w14:paraId="3A2285B5" w14:textId="77777777" w:rsidR="00087BF1" w:rsidRPr="00087BF1" w:rsidRDefault="00087BF1" w:rsidP="00087BF1">
      <w:pPr>
        <w:numPr>
          <w:ilvl w:val="0"/>
          <w:numId w:val="26"/>
        </w:numPr>
      </w:pPr>
      <w:r w:rsidRPr="00087BF1">
        <w:t>Land-</w:t>
      </w:r>
      <w:proofErr w:type="spellStart"/>
      <w:r w:rsidRPr="00087BF1">
        <w:t>use</w:t>
      </w:r>
      <w:proofErr w:type="spellEnd"/>
      <w:r w:rsidRPr="00087BF1">
        <w:t xml:space="preserve"> </w:t>
      </w:r>
      <w:proofErr w:type="spellStart"/>
      <w:r w:rsidRPr="00087BF1">
        <w:t>planning</w:t>
      </w:r>
      <w:proofErr w:type="spellEnd"/>
    </w:p>
    <w:p w14:paraId="597035E9" w14:textId="77777777" w:rsidR="00087BF1" w:rsidRPr="00087BF1" w:rsidRDefault="00087BF1" w:rsidP="00087BF1">
      <w:pPr>
        <w:numPr>
          <w:ilvl w:val="0"/>
          <w:numId w:val="26"/>
        </w:numPr>
      </w:pPr>
      <w:r w:rsidRPr="00087BF1">
        <w:t xml:space="preserve">Environmental </w:t>
      </w:r>
      <w:proofErr w:type="spellStart"/>
      <w:r w:rsidRPr="00087BF1">
        <w:t>impact</w:t>
      </w:r>
      <w:proofErr w:type="spellEnd"/>
      <w:r w:rsidRPr="00087BF1">
        <w:t xml:space="preserve"> </w:t>
      </w:r>
      <w:proofErr w:type="spellStart"/>
      <w:r w:rsidRPr="00087BF1">
        <w:t>assessments</w:t>
      </w:r>
      <w:proofErr w:type="spellEnd"/>
    </w:p>
    <w:p w14:paraId="40D11E96" w14:textId="77777777" w:rsidR="00087BF1" w:rsidRPr="00087BF1" w:rsidRDefault="00087BF1" w:rsidP="00087BF1">
      <w:pPr>
        <w:numPr>
          <w:ilvl w:val="0"/>
          <w:numId w:val="26"/>
        </w:numPr>
      </w:pPr>
      <w:r w:rsidRPr="00087BF1">
        <w:t xml:space="preserve">Utility </w:t>
      </w:r>
      <w:proofErr w:type="spellStart"/>
      <w:r w:rsidRPr="00087BF1">
        <w:t>interconnection</w:t>
      </w:r>
      <w:proofErr w:type="spellEnd"/>
      <w:r w:rsidRPr="00087BF1">
        <w:t xml:space="preserve"> </w:t>
      </w:r>
      <w:proofErr w:type="spellStart"/>
      <w:r w:rsidRPr="00087BF1">
        <w:t>agreements</w:t>
      </w:r>
      <w:proofErr w:type="spellEnd"/>
    </w:p>
    <w:p w14:paraId="318F2C65" w14:textId="77777777" w:rsidR="00087BF1" w:rsidRPr="00087BF1" w:rsidRDefault="00087BF1" w:rsidP="00087BF1">
      <w:pPr>
        <w:numPr>
          <w:ilvl w:val="0"/>
          <w:numId w:val="26"/>
        </w:numPr>
      </w:pPr>
      <w:r w:rsidRPr="00087BF1">
        <w:t xml:space="preserve">High CAPEX </w:t>
      </w:r>
      <w:proofErr w:type="spellStart"/>
      <w:r w:rsidRPr="00087BF1">
        <w:t>thresholds</w:t>
      </w:r>
      <w:proofErr w:type="spellEnd"/>
    </w:p>
    <w:p w14:paraId="5CA6F89B" w14:textId="77777777" w:rsidR="00087BF1" w:rsidRPr="00087BF1" w:rsidRDefault="00087BF1" w:rsidP="00087BF1">
      <w:pPr>
        <w:numPr>
          <w:ilvl w:val="0"/>
          <w:numId w:val="26"/>
        </w:numPr>
      </w:pPr>
      <w:proofErr w:type="spellStart"/>
      <w:r w:rsidRPr="00087BF1">
        <w:t>Advanced</w:t>
      </w:r>
      <w:proofErr w:type="spellEnd"/>
      <w:r w:rsidRPr="00087BF1">
        <w:t xml:space="preserve"> </w:t>
      </w:r>
      <w:proofErr w:type="spellStart"/>
      <w:r w:rsidRPr="00087BF1">
        <w:t>financial</w:t>
      </w:r>
      <w:proofErr w:type="spellEnd"/>
      <w:r w:rsidRPr="00087BF1">
        <w:t xml:space="preserve"> </w:t>
      </w:r>
      <w:proofErr w:type="spellStart"/>
      <w:r w:rsidRPr="00087BF1">
        <w:t>modeling</w:t>
      </w:r>
      <w:proofErr w:type="spellEnd"/>
    </w:p>
    <w:p w14:paraId="0C9C2AF4" w14:textId="77777777" w:rsidR="00087BF1" w:rsidRPr="00087BF1" w:rsidRDefault="00087BF1" w:rsidP="00087BF1">
      <w:pPr>
        <w:rPr>
          <w:lang w:val="en-US"/>
        </w:rPr>
      </w:pPr>
      <w:r w:rsidRPr="00087BF1">
        <w:rPr>
          <w:lang w:val="en-US"/>
        </w:rPr>
        <w:t>While pipeline potential is significant, documentation and preparation gaps are most pronounced in this sector.</w:t>
      </w:r>
    </w:p>
    <w:p w14:paraId="5E28818B" w14:textId="77777777" w:rsidR="00087BF1" w:rsidRPr="00087BF1" w:rsidRDefault="00087BF1" w:rsidP="00087BF1">
      <w:pPr>
        <w:rPr>
          <w:lang w:val="en-US"/>
        </w:rPr>
      </w:pPr>
      <w:r w:rsidRPr="00087BF1">
        <w:rPr>
          <w:lang w:val="en-US"/>
        </w:rPr>
        <w:t>For development finance institutions, this segment represents medium- to long-term pipeline opportunities contingent on structured project preparation support.</w:t>
      </w:r>
    </w:p>
    <w:p w14:paraId="679B68CC" w14:textId="77777777" w:rsidR="005E37A9" w:rsidRDefault="005E37A9" w:rsidP="00087BF1">
      <w:pPr>
        <w:rPr>
          <w:b/>
          <w:bCs/>
          <w:lang w:val="en-US"/>
        </w:rPr>
      </w:pPr>
    </w:p>
    <w:p w14:paraId="0E44C51A" w14:textId="50105511" w:rsidR="00087BF1" w:rsidRPr="00087BF1" w:rsidRDefault="00087BF1" w:rsidP="005E37A9">
      <w:pPr>
        <w:pStyle w:val="Heading2"/>
        <w:rPr>
          <w:lang w:val="en-US"/>
        </w:rPr>
      </w:pPr>
      <w:r w:rsidRPr="00087BF1">
        <w:rPr>
          <w:lang w:val="en-US"/>
        </w:rPr>
        <w:t>5. Cross-Cutting Investment Readiness Barriers</w:t>
      </w:r>
    </w:p>
    <w:p w14:paraId="7F4A2DD0" w14:textId="77777777" w:rsidR="00087BF1" w:rsidRPr="00087BF1" w:rsidRDefault="00087BF1" w:rsidP="00087BF1">
      <w:pPr>
        <w:rPr>
          <w:lang w:val="en-US"/>
        </w:rPr>
      </w:pPr>
      <w:r w:rsidRPr="00087BF1">
        <w:rPr>
          <w:lang w:val="en-US"/>
        </w:rPr>
        <w:t>Across all sectors, common barriers were identified:</w:t>
      </w:r>
    </w:p>
    <w:p w14:paraId="5BCC8DAE" w14:textId="77777777" w:rsidR="00087BF1" w:rsidRPr="00087BF1" w:rsidRDefault="00087BF1" w:rsidP="005E37A9">
      <w:pPr>
        <w:pStyle w:val="Heading3"/>
        <w:rPr>
          <w:lang w:val="en-US"/>
        </w:rPr>
      </w:pPr>
      <w:r w:rsidRPr="00087BF1">
        <w:rPr>
          <w:lang w:val="en-US"/>
        </w:rPr>
        <w:t>5.1 Feasibility Gap</w:t>
      </w:r>
    </w:p>
    <w:p w14:paraId="516435A2" w14:textId="77777777" w:rsidR="00087BF1" w:rsidRPr="00087BF1" w:rsidRDefault="00087BF1" w:rsidP="00087BF1">
      <w:pPr>
        <w:rPr>
          <w:lang w:val="en-US"/>
        </w:rPr>
      </w:pPr>
      <w:r w:rsidRPr="00087BF1">
        <w:rPr>
          <w:lang w:val="en-US"/>
        </w:rPr>
        <w:t>Many projects lack comprehensive technical feasibility studies including engineering design and lifecycle costing.</w:t>
      </w:r>
    </w:p>
    <w:p w14:paraId="0C6A7780" w14:textId="77777777" w:rsidR="00087BF1" w:rsidRPr="005E37A9" w:rsidRDefault="00087BF1" w:rsidP="005E37A9">
      <w:pPr>
        <w:pStyle w:val="Heading3"/>
        <w:rPr>
          <w:lang w:val="en-US"/>
        </w:rPr>
      </w:pPr>
      <w:r w:rsidRPr="00087BF1">
        <w:rPr>
          <w:lang w:val="en-US"/>
        </w:rPr>
        <w:t>5.2 Environmental and Social Documentation</w:t>
      </w:r>
    </w:p>
    <w:p w14:paraId="6B770F56" w14:textId="77777777" w:rsidR="00087BF1" w:rsidRPr="00087BF1" w:rsidRDefault="00087BF1" w:rsidP="00087BF1">
      <w:pPr>
        <w:rPr>
          <w:lang w:val="en-US"/>
        </w:rPr>
      </w:pPr>
      <w:r w:rsidRPr="00087BF1">
        <w:rPr>
          <w:lang w:val="en-US"/>
        </w:rPr>
        <w:t>Environmental and social management plans are often underdeveloped at early stages.</w:t>
      </w:r>
    </w:p>
    <w:p w14:paraId="51944C07" w14:textId="77777777" w:rsidR="00087BF1" w:rsidRPr="005E37A9" w:rsidRDefault="00087BF1" w:rsidP="005E37A9">
      <w:pPr>
        <w:pStyle w:val="Heading3"/>
        <w:rPr>
          <w:lang w:val="en-US"/>
        </w:rPr>
      </w:pPr>
      <w:r w:rsidRPr="00087BF1">
        <w:rPr>
          <w:lang w:val="en-US"/>
        </w:rPr>
        <w:lastRenderedPageBreak/>
        <w:t>5.3 Financial Modeling</w:t>
      </w:r>
    </w:p>
    <w:p w14:paraId="41359710" w14:textId="77777777" w:rsidR="00087BF1" w:rsidRPr="00087BF1" w:rsidRDefault="00087BF1" w:rsidP="00087BF1">
      <w:pPr>
        <w:rPr>
          <w:lang w:val="en-US"/>
        </w:rPr>
      </w:pPr>
      <w:r w:rsidRPr="00087BF1">
        <w:rPr>
          <w:lang w:val="en-US"/>
        </w:rPr>
        <w:t>Municipalities frequently present total investment figures but lack structured financial scenarios including OPEX, maintenance and co-financing.</w:t>
      </w:r>
    </w:p>
    <w:p w14:paraId="3FF11794" w14:textId="77777777" w:rsidR="00087BF1" w:rsidRPr="005E37A9" w:rsidRDefault="00087BF1" w:rsidP="005E37A9">
      <w:pPr>
        <w:pStyle w:val="Heading3"/>
        <w:rPr>
          <w:lang w:val="en-US"/>
        </w:rPr>
      </w:pPr>
      <w:r w:rsidRPr="00087BF1">
        <w:rPr>
          <w:lang w:val="en-US"/>
        </w:rPr>
        <w:t>5.4 Procurement Complexity</w:t>
      </w:r>
    </w:p>
    <w:p w14:paraId="1F226FA5" w14:textId="77777777" w:rsidR="00087BF1" w:rsidRPr="00087BF1" w:rsidRDefault="00087BF1" w:rsidP="00087BF1">
      <w:pPr>
        <w:rPr>
          <w:lang w:val="en-US"/>
        </w:rPr>
      </w:pPr>
      <w:r w:rsidRPr="00087BF1">
        <w:rPr>
          <w:lang w:val="en-US"/>
        </w:rPr>
        <w:t>Public procurement regulations require early integration into project design to avoid implementation delays.</w:t>
      </w:r>
    </w:p>
    <w:p w14:paraId="0721CF7B" w14:textId="77777777" w:rsidR="00087BF1" w:rsidRPr="005E37A9" w:rsidRDefault="00087BF1" w:rsidP="005E37A9">
      <w:pPr>
        <w:pStyle w:val="Heading3"/>
        <w:rPr>
          <w:lang w:val="en-US"/>
        </w:rPr>
      </w:pPr>
      <w:r w:rsidRPr="00087BF1">
        <w:rPr>
          <w:lang w:val="en-US"/>
        </w:rPr>
        <w:t>5.5 Institutional Structuring</w:t>
      </w:r>
    </w:p>
    <w:p w14:paraId="3721608D" w14:textId="77777777" w:rsidR="00087BF1" w:rsidRPr="00087BF1" w:rsidRDefault="00087BF1" w:rsidP="00087BF1">
      <w:pPr>
        <w:rPr>
          <w:lang w:val="en-US"/>
        </w:rPr>
      </w:pPr>
      <w:r w:rsidRPr="00087BF1">
        <w:rPr>
          <w:lang w:val="en-US"/>
        </w:rPr>
        <w:t>Clear project management units and defined responsibilities are essential for scaling.</w:t>
      </w:r>
    </w:p>
    <w:p w14:paraId="1681C3E9" w14:textId="77777777" w:rsidR="00087BF1" w:rsidRDefault="00087BF1" w:rsidP="00087BF1">
      <w:pPr>
        <w:rPr>
          <w:lang w:val="en-US"/>
        </w:rPr>
      </w:pPr>
      <w:r w:rsidRPr="00087BF1">
        <w:rPr>
          <w:lang w:val="en-US"/>
        </w:rPr>
        <w:t>Importantly, these barriers reflect structural capacity constraints rather than political reluctance.</w:t>
      </w:r>
    </w:p>
    <w:p w14:paraId="6DAA66B6" w14:textId="77777777" w:rsidR="005E37A9" w:rsidRPr="00087BF1" w:rsidRDefault="005E37A9" w:rsidP="00087BF1">
      <w:pPr>
        <w:rPr>
          <w:lang w:val="en-US"/>
        </w:rPr>
      </w:pPr>
    </w:p>
    <w:p w14:paraId="06768C3A" w14:textId="77777777" w:rsidR="00087BF1" w:rsidRPr="000911EB" w:rsidRDefault="00087BF1" w:rsidP="005E37A9">
      <w:pPr>
        <w:pStyle w:val="Heading2"/>
        <w:rPr>
          <w:lang w:val="en-US"/>
        </w:rPr>
      </w:pPr>
      <w:r w:rsidRPr="000911EB">
        <w:rPr>
          <w:lang w:val="en-US"/>
        </w:rPr>
        <w:t>6. Financing Dialogue and Donor Engagement</w:t>
      </w:r>
    </w:p>
    <w:p w14:paraId="43D03D8D" w14:textId="77777777" w:rsidR="005E37A9" w:rsidRDefault="005E37A9" w:rsidP="00087BF1">
      <w:pPr>
        <w:rPr>
          <w:lang w:val="en-US"/>
        </w:rPr>
      </w:pPr>
    </w:p>
    <w:p w14:paraId="0CEE3443" w14:textId="3635AA3A" w:rsidR="00087BF1" w:rsidRPr="00087BF1" w:rsidRDefault="00087BF1" w:rsidP="00087BF1">
      <w:pPr>
        <w:rPr>
          <w:lang w:val="en-US"/>
        </w:rPr>
      </w:pPr>
      <w:r w:rsidRPr="00087BF1">
        <w:rPr>
          <w:lang w:val="en-US"/>
        </w:rPr>
        <w:t xml:space="preserve">The Tunis event included structured roundtables with representatives of </w:t>
      </w:r>
      <w:r w:rsidRPr="005E37A9">
        <w:rPr>
          <w:b/>
          <w:bCs/>
          <w:lang w:val="en-US"/>
        </w:rPr>
        <w:t>AFD, EIB, AfDB, KfW, UNCDF</w:t>
      </w:r>
      <w:r w:rsidRPr="00087BF1">
        <w:rPr>
          <w:lang w:val="en-US"/>
        </w:rPr>
        <w:t xml:space="preserve"> and other financing actors. These dialogues clarified expectations regarding documentation, governance alignment and co-financing.</w:t>
      </w:r>
    </w:p>
    <w:p w14:paraId="2957A1BE" w14:textId="77777777" w:rsidR="00087BF1" w:rsidRPr="00087BF1" w:rsidRDefault="00087BF1" w:rsidP="00087BF1">
      <w:pPr>
        <w:rPr>
          <w:lang w:val="en-US"/>
        </w:rPr>
      </w:pPr>
      <w:r w:rsidRPr="00087BF1">
        <w:rPr>
          <w:lang w:val="en-US"/>
        </w:rPr>
        <w:t>In Dar es Salaam, financing prerequisites were analyzed in detail, including environmental compliance and financial viability criteria.</w:t>
      </w:r>
    </w:p>
    <w:p w14:paraId="7D9D293A" w14:textId="77777777" w:rsidR="005E37A9" w:rsidRDefault="005E37A9" w:rsidP="00087BF1">
      <w:pPr>
        <w:rPr>
          <w:lang w:val="en-US"/>
        </w:rPr>
      </w:pPr>
    </w:p>
    <w:p w14:paraId="21E4C0BB" w14:textId="26D612D4" w:rsidR="00087BF1" w:rsidRPr="00087BF1" w:rsidRDefault="00087BF1" w:rsidP="00087BF1">
      <w:pPr>
        <w:rPr>
          <w:lang w:val="en-US"/>
        </w:rPr>
      </w:pPr>
      <w:r w:rsidRPr="00087BF1">
        <w:rPr>
          <w:lang w:val="en-US"/>
        </w:rPr>
        <w:t xml:space="preserve">The submission of the </w:t>
      </w:r>
      <w:proofErr w:type="spellStart"/>
      <w:r w:rsidRPr="005E37A9">
        <w:rPr>
          <w:b/>
          <w:bCs/>
          <w:lang w:val="en-US"/>
        </w:rPr>
        <w:t>Nefza</w:t>
      </w:r>
      <w:proofErr w:type="spellEnd"/>
      <w:r w:rsidRPr="005E37A9">
        <w:rPr>
          <w:b/>
          <w:bCs/>
          <w:lang w:val="en-US"/>
        </w:rPr>
        <w:t xml:space="preserve"> Gap Fund</w:t>
      </w:r>
      <w:r w:rsidRPr="00087BF1">
        <w:rPr>
          <w:lang w:val="en-US"/>
        </w:rPr>
        <w:t xml:space="preserve"> application demonstrates that the working group successfully facilitated transition from dialogue to structured financing engagement.</w:t>
      </w:r>
    </w:p>
    <w:p w14:paraId="5FC27D14" w14:textId="77777777" w:rsidR="00087BF1" w:rsidRPr="00087BF1" w:rsidRDefault="00087BF1" w:rsidP="00087BF1">
      <w:pPr>
        <w:rPr>
          <w:lang w:val="en-US"/>
        </w:rPr>
      </w:pPr>
      <w:r w:rsidRPr="00087BF1">
        <w:rPr>
          <w:lang w:val="en-US"/>
        </w:rPr>
        <w:t>For AfDB and other development banks, the participating municipalities collectively represent a diversified pipeline across three renewable sectors.</w:t>
      </w:r>
    </w:p>
    <w:p w14:paraId="67286159" w14:textId="77777777" w:rsidR="005E37A9" w:rsidRDefault="005E37A9" w:rsidP="00087BF1">
      <w:pPr>
        <w:rPr>
          <w:b/>
          <w:bCs/>
          <w:lang w:val="en-US"/>
        </w:rPr>
      </w:pPr>
    </w:p>
    <w:p w14:paraId="56F9A9F5" w14:textId="11438A96" w:rsidR="00087BF1" w:rsidRPr="000911EB" w:rsidRDefault="00087BF1" w:rsidP="005E37A9">
      <w:pPr>
        <w:pStyle w:val="Heading3"/>
        <w:rPr>
          <w:lang w:val="en-US"/>
        </w:rPr>
      </w:pPr>
      <w:r w:rsidRPr="000911EB">
        <w:rPr>
          <w:lang w:val="en-US"/>
        </w:rPr>
        <w:t>7. Connective Cities as Pipeline Intermediary</w:t>
      </w:r>
    </w:p>
    <w:p w14:paraId="30226140" w14:textId="77777777" w:rsidR="00086A45" w:rsidRDefault="00086A45" w:rsidP="00087BF1">
      <w:pPr>
        <w:rPr>
          <w:lang w:val="en-US"/>
        </w:rPr>
      </w:pPr>
    </w:p>
    <w:p w14:paraId="42F9FC96" w14:textId="4AEAE364" w:rsidR="00087BF1" w:rsidRPr="00087BF1" w:rsidRDefault="00087BF1" w:rsidP="00087BF1">
      <w:pPr>
        <w:rPr>
          <w:lang w:val="en-US"/>
        </w:rPr>
      </w:pPr>
      <w:r w:rsidRPr="00087BF1">
        <w:rPr>
          <w:lang w:val="en-US"/>
        </w:rPr>
        <w:t>The working group highlighted the intermediary role of Connective Cities:</w:t>
      </w:r>
    </w:p>
    <w:p w14:paraId="0B5BE581" w14:textId="77777777" w:rsidR="00087BF1" w:rsidRPr="00087BF1" w:rsidRDefault="00087BF1" w:rsidP="00087BF1">
      <w:pPr>
        <w:numPr>
          <w:ilvl w:val="0"/>
          <w:numId w:val="27"/>
        </w:numPr>
      </w:pPr>
      <w:r w:rsidRPr="00087BF1">
        <w:t xml:space="preserve">Structured </w:t>
      </w:r>
      <w:proofErr w:type="spellStart"/>
      <w:r w:rsidRPr="00087BF1">
        <w:t>project</w:t>
      </w:r>
      <w:proofErr w:type="spellEnd"/>
      <w:r w:rsidRPr="00087BF1">
        <w:t xml:space="preserve"> </w:t>
      </w:r>
      <w:proofErr w:type="spellStart"/>
      <w:r w:rsidRPr="00087BF1">
        <w:t>fiche</w:t>
      </w:r>
      <w:proofErr w:type="spellEnd"/>
      <w:r w:rsidRPr="00087BF1">
        <w:t xml:space="preserve"> </w:t>
      </w:r>
      <w:proofErr w:type="spellStart"/>
      <w:r w:rsidRPr="00087BF1">
        <w:t>methodology</w:t>
      </w:r>
      <w:proofErr w:type="spellEnd"/>
    </w:p>
    <w:p w14:paraId="5F8045A0" w14:textId="77777777" w:rsidR="00087BF1" w:rsidRPr="00087BF1" w:rsidRDefault="00087BF1" w:rsidP="00087BF1">
      <w:pPr>
        <w:numPr>
          <w:ilvl w:val="0"/>
          <w:numId w:val="27"/>
        </w:numPr>
        <w:rPr>
          <w:lang w:val="en-US"/>
        </w:rPr>
      </w:pPr>
      <w:r w:rsidRPr="00087BF1">
        <w:rPr>
          <w:lang w:val="en-US"/>
        </w:rPr>
        <w:t>Peer-to-peer exchange as diagnostic tool</w:t>
      </w:r>
    </w:p>
    <w:p w14:paraId="56FBFB11" w14:textId="77777777" w:rsidR="00087BF1" w:rsidRPr="00087BF1" w:rsidRDefault="00087BF1" w:rsidP="00087BF1">
      <w:pPr>
        <w:numPr>
          <w:ilvl w:val="0"/>
          <w:numId w:val="27"/>
        </w:numPr>
      </w:pPr>
      <w:r w:rsidRPr="00087BF1">
        <w:t xml:space="preserve">Financing </w:t>
      </w:r>
      <w:proofErr w:type="spellStart"/>
      <w:r w:rsidRPr="00087BF1">
        <w:t>dialogue</w:t>
      </w:r>
      <w:proofErr w:type="spellEnd"/>
      <w:r w:rsidRPr="00087BF1">
        <w:t xml:space="preserve"> </w:t>
      </w:r>
      <w:proofErr w:type="spellStart"/>
      <w:r w:rsidRPr="00087BF1">
        <w:t>facilitation</w:t>
      </w:r>
      <w:proofErr w:type="spellEnd"/>
    </w:p>
    <w:p w14:paraId="1BDBA341" w14:textId="77777777" w:rsidR="00087BF1" w:rsidRPr="00087BF1" w:rsidRDefault="00087BF1" w:rsidP="00087BF1">
      <w:pPr>
        <w:numPr>
          <w:ilvl w:val="0"/>
          <w:numId w:val="27"/>
        </w:numPr>
      </w:pPr>
      <w:r w:rsidRPr="00087BF1">
        <w:t xml:space="preserve">Bilateral </w:t>
      </w:r>
      <w:proofErr w:type="spellStart"/>
      <w:r w:rsidRPr="00087BF1">
        <w:t>technical</w:t>
      </w:r>
      <w:proofErr w:type="spellEnd"/>
      <w:r w:rsidRPr="00087BF1">
        <w:t xml:space="preserve"> </w:t>
      </w:r>
      <w:proofErr w:type="spellStart"/>
      <w:r w:rsidRPr="00087BF1">
        <w:t>clinics</w:t>
      </w:r>
      <w:proofErr w:type="spellEnd"/>
    </w:p>
    <w:p w14:paraId="5412B38D" w14:textId="77777777" w:rsidR="00087BF1" w:rsidRPr="00087BF1" w:rsidRDefault="00087BF1" w:rsidP="00087BF1">
      <w:pPr>
        <w:numPr>
          <w:ilvl w:val="0"/>
          <w:numId w:val="27"/>
        </w:numPr>
      </w:pPr>
      <w:r w:rsidRPr="00087BF1">
        <w:t xml:space="preserve">Integration of European </w:t>
      </w:r>
      <w:proofErr w:type="spellStart"/>
      <w:r w:rsidRPr="00087BF1">
        <w:t>best</w:t>
      </w:r>
      <w:proofErr w:type="spellEnd"/>
      <w:r w:rsidRPr="00087BF1">
        <w:t xml:space="preserve"> </w:t>
      </w:r>
      <w:proofErr w:type="spellStart"/>
      <w:r w:rsidRPr="00087BF1">
        <w:t>practices</w:t>
      </w:r>
      <w:proofErr w:type="spellEnd"/>
    </w:p>
    <w:p w14:paraId="6C7F183D" w14:textId="77777777" w:rsidR="00087BF1" w:rsidRPr="00087BF1" w:rsidRDefault="00087BF1" w:rsidP="00087BF1">
      <w:pPr>
        <w:rPr>
          <w:lang w:val="en-US"/>
        </w:rPr>
      </w:pPr>
      <w:r w:rsidRPr="00087BF1">
        <w:rPr>
          <w:lang w:val="en-US"/>
        </w:rPr>
        <w:t>Rather than acting as a funding mechanism, Connective Cities functions as a preparation accelerator, aligning municipal ambition with development finance logic.</w:t>
      </w:r>
    </w:p>
    <w:p w14:paraId="2CE1970B" w14:textId="77777777" w:rsidR="00DA31D8" w:rsidRDefault="00DA31D8" w:rsidP="00087BF1">
      <w:pPr>
        <w:rPr>
          <w:b/>
          <w:bCs/>
          <w:lang w:val="en-US"/>
        </w:rPr>
      </w:pPr>
    </w:p>
    <w:p w14:paraId="04EEE312" w14:textId="77777777" w:rsidR="00DA31D8" w:rsidRDefault="00DA31D8" w:rsidP="00087BF1">
      <w:pPr>
        <w:rPr>
          <w:b/>
          <w:bCs/>
          <w:lang w:val="en-US"/>
        </w:rPr>
      </w:pPr>
    </w:p>
    <w:p w14:paraId="256D6B39" w14:textId="165A10BE" w:rsidR="00087BF1" w:rsidRPr="000911EB" w:rsidRDefault="00087BF1" w:rsidP="00086A45">
      <w:pPr>
        <w:pStyle w:val="Heading3"/>
        <w:rPr>
          <w:lang w:val="en-US"/>
        </w:rPr>
      </w:pPr>
      <w:r w:rsidRPr="000911EB">
        <w:rPr>
          <w:lang w:val="en-US"/>
        </w:rPr>
        <w:t>8. Strategic Roadmap 2025–2026</w:t>
      </w:r>
    </w:p>
    <w:p w14:paraId="5D23EC96" w14:textId="77777777" w:rsidR="00DA31D8" w:rsidRDefault="00DA31D8" w:rsidP="00087BF1">
      <w:pPr>
        <w:rPr>
          <w:lang w:val="en-US"/>
        </w:rPr>
      </w:pPr>
    </w:p>
    <w:p w14:paraId="71B741AC" w14:textId="7F543937" w:rsidR="00087BF1" w:rsidRPr="00087BF1" w:rsidRDefault="00087BF1" w:rsidP="00087BF1">
      <w:pPr>
        <w:rPr>
          <w:lang w:val="en-US"/>
        </w:rPr>
      </w:pPr>
      <w:r w:rsidRPr="00087BF1">
        <w:rPr>
          <w:lang w:val="en-US"/>
        </w:rPr>
        <w:t>To convert concept portfolios into structured pipelines, the next phase should include:</w:t>
      </w:r>
    </w:p>
    <w:p w14:paraId="1E5F46C4" w14:textId="77777777" w:rsidR="00087BF1" w:rsidRPr="00087BF1" w:rsidRDefault="00087BF1" w:rsidP="00087BF1">
      <w:pPr>
        <w:numPr>
          <w:ilvl w:val="0"/>
          <w:numId w:val="28"/>
        </w:numPr>
      </w:pPr>
      <w:proofErr w:type="spellStart"/>
      <w:r w:rsidRPr="00087BF1">
        <w:t>Sector-specific</w:t>
      </w:r>
      <w:proofErr w:type="spellEnd"/>
      <w:r w:rsidRPr="00087BF1">
        <w:t xml:space="preserve"> </w:t>
      </w:r>
      <w:proofErr w:type="spellStart"/>
      <w:r w:rsidRPr="00087BF1">
        <w:t>bankability</w:t>
      </w:r>
      <w:proofErr w:type="spellEnd"/>
      <w:r w:rsidRPr="00087BF1">
        <w:t xml:space="preserve"> </w:t>
      </w:r>
      <w:proofErr w:type="spellStart"/>
      <w:r w:rsidRPr="00087BF1">
        <w:t>tracks</w:t>
      </w:r>
      <w:proofErr w:type="spellEnd"/>
    </w:p>
    <w:p w14:paraId="482A9A9B" w14:textId="77777777" w:rsidR="00087BF1" w:rsidRPr="00087BF1" w:rsidRDefault="00087BF1" w:rsidP="00087BF1">
      <w:pPr>
        <w:numPr>
          <w:ilvl w:val="0"/>
          <w:numId w:val="28"/>
        </w:numPr>
      </w:pPr>
      <w:proofErr w:type="spellStart"/>
      <w:r w:rsidRPr="00087BF1">
        <w:t>Standardized</w:t>
      </w:r>
      <w:proofErr w:type="spellEnd"/>
      <w:r w:rsidRPr="00087BF1">
        <w:t xml:space="preserve"> </w:t>
      </w:r>
      <w:proofErr w:type="spellStart"/>
      <w:r w:rsidRPr="00087BF1">
        <w:t>feasibility</w:t>
      </w:r>
      <w:proofErr w:type="spellEnd"/>
      <w:r w:rsidRPr="00087BF1">
        <w:t xml:space="preserve"> </w:t>
      </w:r>
      <w:proofErr w:type="spellStart"/>
      <w:r w:rsidRPr="00087BF1">
        <w:t>templates</w:t>
      </w:r>
      <w:proofErr w:type="spellEnd"/>
    </w:p>
    <w:p w14:paraId="2579F823" w14:textId="77777777" w:rsidR="00087BF1" w:rsidRPr="00087BF1" w:rsidRDefault="00087BF1" w:rsidP="00087BF1">
      <w:pPr>
        <w:numPr>
          <w:ilvl w:val="0"/>
          <w:numId w:val="28"/>
        </w:numPr>
      </w:pPr>
      <w:r w:rsidRPr="00087BF1">
        <w:t xml:space="preserve">Environmental </w:t>
      </w:r>
      <w:proofErr w:type="spellStart"/>
      <w:r w:rsidRPr="00087BF1">
        <w:t>documentation</w:t>
      </w:r>
      <w:proofErr w:type="spellEnd"/>
      <w:r w:rsidRPr="00087BF1">
        <w:t xml:space="preserve"> </w:t>
      </w:r>
      <w:proofErr w:type="spellStart"/>
      <w:r w:rsidRPr="00087BF1">
        <w:t>guidance</w:t>
      </w:r>
      <w:proofErr w:type="spellEnd"/>
    </w:p>
    <w:p w14:paraId="533129A9" w14:textId="77777777" w:rsidR="00087BF1" w:rsidRPr="00087BF1" w:rsidRDefault="00087BF1" w:rsidP="00087BF1">
      <w:pPr>
        <w:numPr>
          <w:ilvl w:val="0"/>
          <w:numId w:val="28"/>
        </w:numPr>
      </w:pPr>
      <w:r w:rsidRPr="00087BF1">
        <w:t xml:space="preserve">O&amp;M </w:t>
      </w:r>
      <w:proofErr w:type="spellStart"/>
      <w:r w:rsidRPr="00087BF1">
        <w:t>financial</w:t>
      </w:r>
      <w:proofErr w:type="spellEnd"/>
      <w:r w:rsidRPr="00087BF1">
        <w:t xml:space="preserve"> </w:t>
      </w:r>
      <w:proofErr w:type="spellStart"/>
      <w:r w:rsidRPr="00087BF1">
        <w:t>modeling</w:t>
      </w:r>
      <w:proofErr w:type="spellEnd"/>
      <w:r w:rsidRPr="00087BF1">
        <w:t xml:space="preserve"> support</w:t>
      </w:r>
    </w:p>
    <w:p w14:paraId="20181528" w14:textId="77777777" w:rsidR="00087BF1" w:rsidRPr="00087BF1" w:rsidRDefault="00087BF1" w:rsidP="00087BF1">
      <w:pPr>
        <w:numPr>
          <w:ilvl w:val="0"/>
          <w:numId w:val="28"/>
        </w:numPr>
      </w:pPr>
      <w:proofErr w:type="spellStart"/>
      <w:r w:rsidRPr="00087BF1">
        <w:t>Continued</w:t>
      </w:r>
      <w:proofErr w:type="spellEnd"/>
      <w:r w:rsidRPr="00087BF1">
        <w:t xml:space="preserve"> </w:t>
      </w:r>
      <w:proofErr w:type="spellStart"/>
      <w:r w:rsidRPr="00087BF1">
        <w:t>financing</w:t>
      </w:r>
      <w:proofErr w:type="spellEnd"/>
      <w:r w:rsidRPr="00087BF1">
        <w:t xml:space="preserve"> </w:t>
      </w:r>
      <w:proofErr w:type="spellStart"/>
      <w:r w:rsidRPr="00087BF1">
        <w:t>roundtables</w:t>
      </w:r>
      <w:proofErr w:type="spellEnd"/>
    </w:p>
    <w:p w14:paraId="56F0746D" w14:textId="77777777" w:rsidR="00087BF1" w:rsidRPr="00087BF1" w:rsidRDefault="00087BF1" w:rsidP="00087BF1">
      <w:pPr>
        <w:numPr>
          <w:ilvl w:val="0"/>
          <w:numId w:val="28"/>
        </w:numPr>
      </w:pPr>
      <w:r w:rsidRPr="00087BF1">
        <w:t xml:space="preserve">Replication </w:t>
      </w:r>
      <w:proofErr w:type="spellStart"/>
      <w:r w:rsidRPr="00087BF1">
        <w:t>across</w:t>
      </w:r>
      <w:proofErr w:type="spellEnd"/>
      <w:r w:rsidRPr="00087BF1">
        <w:t xml:space="preserve"> additional African </w:t>
      </w:r>
      <w:proofErr w:type="spellStart"/>
      <w:r w:rsidRPr="00087BF1">
        <w:t>municipalities</w:t>
      </w:r>
      <w:proofErr w:type="spellEnd"/>
    </w:p>
    <w:p w14:paraId="61AF4BB8" w14:textId="77777777" w:rsidR="00087BF1" w:rsidRPr="00087BF1" w:rsidRDefault="00087BF1" w:rsidP="00087BF1">
      <w:pPr>
        <w:rPr>
          <w:lang w:val="en-US"/>
        </w:rPr>
      </w:pPr>
      <w:r w:rsidRPr="00087BF1">
        <w:rPr>
          <w:lang w:val="en-US"/>
        </w:rPr>
        <w:t>Street lighting modernization offers immediate scaling potential. Rooftop PV can evolve into asset portfolios. Larger-scale PV concepts require targeted preparation facilities.</w:t>
      </w:r>
    </w:p>
    <w:p w14:paraId="13D2F327" w14:textId="77777777" w:rsidR="00DA31D8" w:rsidRDefault="00DA31D8" w:rsidP="00087BF1">
      <w:pPr>
        <w:rPr>
          <w:b/>
          <w:bCs/>
          <w:lang w:val="en-US"/>
        </w:rPr>
      </w:pPr>
    </w:p>
    <w:p w14:paraId="6667E513" w14:textId="77777777" w:rsidR="000345DC" w:rsidRPr="00087BF1" w:rsidRDefault="000345DC" w:rsidP="00795DBA">
      <w:pPr>
        <w:rPr>
          <w:lang w:val="en-US"/>
        </w:rPr>
      </w:pPr>
    </w:p>
    <w:sectPr w:rsidR="000345DC" w:rsidRPr="00087BF1" w:rsidSect="00E0714A">
      <w:headerReference w:type="default" r:id="rId12"/>
      <w:footerReference w:type="defaul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80F9" w14:textId="77777777" w:rsidR="001A3AB5" w:rsidRDefault="001A3AB5" w:rsidP="00E0714A">
      <w:r>
        <w:separator/>
      </w:r>
    </w:p>
  </w:endnote>
  <w:endnote w:type="continuationSeparator" w:id="0">
    <w:p w14:paraId="6C3494A7" w14:textId="77777777" w:rsidR="001A3AB5" w:rsidRDefault="001A3AB5"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5BF64FC1" w14:textId="77777777" w:rsidTr="005E367D">
      <w:tc>
        <w:tcPr>
          <w:tcW w:w="1329" w:type="pct"/>
        </w:tcPr>
        <w:p w14:paraId="19D16161" w14:textId="48170C7F" w:rsidR="00703906" w:rsidRDefault="00703906" w:rsidP="00703906">
          <w:pPr>
            <w:rPr>
              <w:sz w:val="18"/>
              <w:szCs w:val="18"/>
            </w:rPr>
          </w:pPr>
        </w:p>
      </w:tc>
      <w:tc>
        <w:tcPr>
          <w:tcW w:w="2266" w:type="pct"/>
        </w:tcPr>
        <w:p w14:paraId="10919032" w14:textId="73E4175A" w:rsidR="00703906" w:rsidRDefault="00703906" w:rsidP="00703906">
          <w:pPr>
            <w:jc w:val="center"/>
            <w:rPr>
              <w:sz w:val="18"/>
              <w:szCs w:val="18"/>
            </w:rPr>
          </w:pPr>
        </w:p>
      </w:tc>
      <w:tc>
        <w:tcPr>
          <w:tcW w:w="1405" w:type="pct"/>
        </w:tcPr>
        <w:p w14:paraId="3B558C5B" w14:textId="76AF8F3D" w:rsidR="00703906" w:rsidRDefault="00703906" w:rsidP="00703906">
          <w:pPr>
            <w:ind w:right="57"/>
            <w:jc w:val="right"/>
            <w:rPr>
              <w:sz w:val="18"/>
              <w:szCs w:val="18"/>
            </w:rPr>
          </w:pPr>
        </w:p>
      </w:tc>
    </w:tr>
  </w:tbl>
  <w:p w14:paraId="135E9102" w14:textId="1060C385" w:rsidR="00703906" w:rsidRPr="00703906" w:rsidRDefault="00087BF1" w:rsidP="00703906">
    <w:pPr>
      <w:rPr>
        <w:rFonts w:cs="Arial"/>
        <w:szCs w:val="18"/>
      </w:rPr>
    </w:pPr>
    <w:r>
      <w:rPr>
        <w:noProof/>
      </w:rPr>
      <w:drawing>
        <wp:anchor distT="0" distB="0" distL="114300" distR="114300" simplePos="0" relativeHeight="251661312" behindDoc="0" locked="0" layoutInCell="1" allowOverlap="1" wp14:anchorId="45BC537D" wp14:editId="5D3112FC">
          <wp:simplePos x="0" y="0"/>
          <wp:positionH relativeFrom="page">
            <wp:align>left</wp:align>
          </wp:positionH>
          <wp:positionV relativeFrom="paragraph">
            <wp:posOffset>-698500</wp:posOffset>
          </wp:positionV>
          <wp:extent cx="7391400" cy="1408986"/>
          <wp:effectExtent l="0" t="0" r="0" b="1270"/>
          <wp:wrapNone/>
          <wp:docPr id="1840064999"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64999" name="Grafik 1" descr="Ein Bild, das Text, Screenshot, Schrift, Reihe enthält.&#10;&#10;KI-generierte Inhalte können fehlerhaft sein."/>
                  <pic:cNvPicPr/>
                </pic:nvPicPr>
                <pic:blipFill>
                  <a:blip r:embed="rId1"/>
                  <a:stretch>
                    <a:fillRect/>
                  </a:stretch>
                </pic:blipFill>
                <pic:spPr>
                  <a:xfrm>
                    <a:off x="0" y="0"/>
                    <a:ext cx="7391400" cy="140898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4C58" w14:textId="77777777" w:rsidR="001A3AB5" w:rsidRDefault="001A3AB5" w:rsidP="00E0714A">
      <w:r>
        <w:separator/>
      </w:r>
    </w:p>
  </w:footnote>
  <w:footnote w:type="continuationSeparator" w:id="0">
    <w:p w14:paraId="57571AF1" w14:textId="77777777" w:rsidR="001A3AB5" w:rsidRDefault="001A3AB5"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24928722" w14:textId="77777777" w:rsidTr="005E367D">
      <w:tc>
        <w:tcPr>
          <w:tcW w:w="3497" w:type="pct"/>
        </w:tcPr>
        <w:p w14:paraId="3BC32457" w14:textId="744C8A40" w:rsidR="00703906" w:rsidRPr="00703906" w:rsidRDefault="00703906" w:rsidP="00703906">
          <w:pPr>
            <w:tabs>
              <w:tab w:val="right" w:pos="9356"/>
            </w:tabs>
            <w:spacing w:before="660"/>
            <w:rPr>
              <w:rFonts w:eastAsia="Times New Roman" w:cs="Times New Roman"/>
              <w:lang w:eastAsia="de-DE"/>
            </w:rPr>
          </w:pPr>
        </w:p>
      </w:tc>
      <w:tc>
        <w:tcPr>
          <w:tcW w:w="1503" w:type="pct"/>
        </w:tcPr>
        <w:p w14:paraId="4855F486" w14:textId="3760A539" w:rsidR="00703906" w:rsidRPr="00703906" w:rsidRDefault="00087BF1" w:rsidP="00703906">
          <w:pPr>
            <w:tabs>
              <w:tab w:val="right" w:pos="9356"/>
            </w:tabs>
            <w:ind w:right="-227"/>
            <w:jc w:val="right"/>
            <w:rPr>
              <w:rFonts w:eastAsia="Times New Roman" w:cs="Times New Roman"/>
              <w:sz w:val="20"/>
              <w:szCs w:val="20"/>
              <w:lang w:eastAsia="de-DE"/>
            </w:rPr>
          </w:pPr>
          <w:r w:rsidRPr="00017271">
            <w:rPr>
              <w:noProof/>
              <w:lang w:eastAsia="de-DE"/>
            </w:rPr>
            <w:drawing>
              <wp:anchor distT="0" distB="0" distL="114300" distR="114300" simplePos="0" relativeHeight="251659264" behindDoc="0" locked="0" layoutInCell="1" allowOverlap="1" wp14:anchorId="06D790EB" wp14:editId="43623996">
                <wp:simplePos x="0" y="0"/>
                <wp:positionH relativeFrom="column">
                  <wp:posOffset>302260</wp:posOffset>
                </wp:positionH>
                <wp:positionV relativeFrom="paragraph">
                  <wp:posOffset>-26035</wp:posOffset>
                </wp:positionV>
                <wp:extent cx="1763395" cy="656859"/>
                <wp:effectExtent l="0" t="0" r="8255" b="0"/>
                <wp:wrapNone/>
                <wp:docPr id="1764517675" name="Grafik 3" descr="Ein Bild, das Grafiken, Kreis, Grafikdesign, Screenshot enthält.&#10;&#10;Automatisch generierte Beschreibung">
                  <a:extLst xmlns:a="http://schemas.openxmlformats.org/drawingml/2006/main">
                    <a:ext uri="{FF2B5EF4-FFF2-40B4-BE49-F238E27FC236}">
                      <a16:creationId xmlns:a16="http://schemas.microsoft.com/office/drawing/2014/main" id="{722CAC6C-4DFD-3481-48A0-9A0B81C4E6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Grafiken, Kreis, Grafikdesign, Screenshot enthält.&#10;&#10;Automatisch generierte Beschreibung">
                          <a:extLst>
                            <a:ext uri="{FF2B5EF4-FFF2-40B4-BE49-F238E27FC236}">
                              <a16:creationId xmlns:a16="http://schemas.microsoft.com/office/drawing/2014/main" id="{722CAC6C-4DFD-3481-48A0-9A0B81C4E64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656859"/>
                        </a:xfrm>
                        <a:prstGeom prst="rect">
                          <a:avLst/>
                        </a:prstGeom>
                      </pic:spPr>
                    </pic:pic>
                  </a:graphicData>
                </a:graphic>
                <wp14:sizeRelH relativeFrom="margin">
                  <wp14:pctWidth>0</wp14:pctWidth>
                </wp14:sizeRelH>
                <wp14:sizeRelV relativeFrom="margin">
                  <wp14:pctHeight>0</wp14:pctHeight>
                </wp14:sizeRelV>
              </wp:anchor>
            </w:drawing>
          </w:r>
        </w:p>
      </w:tc>
    </w:tr>
  </w:tbl>
  <w:p w14:paraId="2456DDA6" w14:textId="69523FD8"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E650B"/>
    <w:multiLevelType w:val="multilevel"/>
    <w:tmpl w:val="6AE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42AFE"/>
    <w:multiLevelType w:val="multilevel"/>
    <w:tmpl w:val="F6B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45B5A"/>
    <w:multiLevelType w:val="multilevel"/>
    <w:tmpl w:val="9B9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33880"/>
    <w:multiLevelType w:val="multilevel"/>
    <w:tmpl w:val="94A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D0A86"/>
    <w:multiLevelType w:val="multilevel"/>
    <w:tmpl w:val="B79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26228"/>
    <w:multiLevelType w:val="multilevel"/>
    <w:tmpl w:val="B6C8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47083"/>
    <w:multiLevelType w:val="multilevel"/>
    <w:tmpl w:val="2DB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70870"/>
    <w:multiLevelType w:val="multilevel"/>
    <w:tmpl w:val="DADA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BB5707"/>
    <w:multiLevelType w:val="multilevel"/>
    <w:tmpl w:val="F628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34223"/>
    <w:multiLevelType w:val="multilevel"/>
    <w:tmpl w:val="0AA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44B11"/>
    <w:multiLevelType w:val="multilevel"/>
    <w:tmpl w:val="1F5A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22"/>
  </w:num>
  <w:num w:numId="12" w16cid:durableId="1868173602">
    <w:abstractNumId w:val="14"/>
  </w:num>
  <w:num w:numId="13" w16cid:durableId="1787390440">
    <w:abstractNumId w:val="16"/>
  </w:num>
  <w:num w:numId="14" w16cid:durableId="1213494628">
    <w:abstractNumId w:val="18"/>
  </w:num>
  <w:num w:numId="15" w16cid:durableId="1187985858">
    <w:abstractNumId w:val="10"/>
  </w:num>
  <w:num w:numId="16" w16cid:durableId="1958903269">
    <w:abstractNumId w:val="13"/>
  </w:num>
  <w:num w:numId="17" w16cid:durableId="261838599">
    <w:abstractNumId w:val="23"/>
  </w:num>
  <w:num w:numId="18" w16cid:durableId="649676491">
    <w:abstractNumId w:val="24"/>
  </w:num>
  <w:num w:numId="19" w16cid:durableId="959533284">
    <w:abstractNumId w:val="15"/>
  </w:num>
  <w:num w:numId="20" w16cid:durableId="23288593">
    <w:abstractNumId w:val="27"/>
  </w:num>
  <w:num w:numId="21" w16cid:durableId="2066945841">
    <w:abstractNumId w:val="19"/>
  </w:num>
  <w:num w:numId="22" w16cid:durableId="428162720">
    <w:abstractNumId w:val="21"/>
  </w:num>
  <w:num w:numId="23" w16cid:durableId="1163206629">
    <w:abstractNumId w:val="17"/>
  </w:num>
  <w:num w:numId="24" w16cid:durableId="1436946820">
    <w:abstractNumId w:val="20"/>
  </w:num>
  <w:num w:numId="25" w16cid:durableId="82340360">
    <w:abstractNumId w:val="12"/>
  </w:num>
  <w:num w:numId="26" w16cid:durableId="609822715">
    <w:abstractNumId w:val="26"/>
  </w:num>
  <w:num w:numId="27" w16cid:durableId="1349402811">
    <w:abstractNumId w:val="25"/>
  </w:num>
  <w:num w:numId="28" w16cid:durableId="351612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F1"/>
    <w:rsid w:val="0002529C"/>
    <w:rsid w:val="000345DC"/>
    <w:rsid w:val="0004160B"/>
    <w:rsid w:val="00067CC5"/>
    <w:rsid w:val="00086A45"/>
    <w:rsid w:val="00087BF1"/>
    <w:rsid w:val="000911EB"/>
    <w:rsid w:val="001A3AB5"/>
    <w:rsid w:val="002101ED"/>
    <w:rsid w:val="002648E9"/>
    <w:rsid w:val="00324DC1"/>
    <w:rsid w:val="003B306D"/>
    <w:rsid w:val="003E29DA"/>
    <w:rsid w:val="003E5CAF"/>
    <w:rsid w:val="00463325"/>
    <w:rsid w:val="00464DA0"/>
    <w:rsid w:val="004853DF"/>
    <w:rsid w:val="0048622E"/>
    <w:rsid w:val="004C7979"/>
    <w:rsid w:val="004E334E"/>
    <w:rsid w:val="005155E3"/>
    <w:rsid w:val="005E367D"/>
    <w:rsid w:val="005E37A9"/>
    <w:rsid w:val="005E44AF"/>
    <w:rsid w:val="005F04BA"/>
    <w:rsid w:val="00676462"/>
    <w:rsid w:val="00681AE3"/>
    <w:rsid w:val="006944B0"/>
    <w:rsid w:val="006D37D0"/>
    <w:rsid w:val="006F1AB4"/>
    <w:rsid w:val="00703906"/>
    <w:rsid w:val="00777255"/>
    <w:rsid w:val="00795DBA"/>
    <w:rsid w:val="0080748B"/>
    <w:rsid w:val="008237D6"/>
    <w:rsid w:val="00827BB9"/>
    <w:rsid w:val="008D0EC6"/>
    <w:rsid w:val="008F7397"/>
    <w:rsid w:val="00947978"/>
    <w:rsid w:val="00977042"/>
    <w:rsid w:val="00985320"/>
    <w:rsid w:val="009C5B15"/>
    <w:rsid w:val="00AF41DB"/>
    <w:rsid w:val="00B90206"/>
    <w:rsid w:val="00B963C8"/>
    <w:rsid w:val="00BD7E84"/>
    <w:rsid w:val="00BE5762"/>
    <w:rsid w:val="00CB282C"/>
    <w:rsid w:val="00CE4813"/>
    <w:rsid w:val="00D01281"/>
    <w:rsid w:val="00D33EDC"/>
    <w:rsid w:val="00D43C6B"/>
    <w:rsid w:val="00D52C09"/>
    <w:rsid w:val="00DA31D8"/>
    <w:rsid w:val="00DB0CD9"/>
    <w:rsid w:val="00DB7C24"/>
    <w:rsid w:val="00DF1A0A"/>
    <w:rsid w:val="00E0714A"/>
    <w:rsid w:val="00E44185"/>
    <w:rsid w:val="00E916AA"/>
    <w:rsid w:val="00F2068D"/>
    <w:rsid w:val="00F30AA3"/>
    <w:rsid w:val="00FE51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09A7"/>
  <w15:chartTrackingRefBased/>
  <w15:docId w15:val="{9B603289-2A2F-40D2-BBFA-F674CE62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B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B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B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B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087BF1"/>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087BF1"/>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087BF1"/>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087BF1"/>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087B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BF1"/>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87B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BF1"/>
    <w:rPr>
      <w:rFonts w:ascii="Arial" w:hAnsi="Arial"/>
      <w:i/>
      <w:iCs/>
      <w:color w:val="404040" w:themeColor="text1" w:themeTint="BF"/>
      <w:lang w:eastAsia="en-US"/>
    </w:rPr>
  </w:style>
  <w:style w:type="paragraph" w:styleId="ListParagraph">
    <w:name w:val="List Paragraph"/>
    <w:basedOn w:val="Normal"/>
    <w:uiPriority w:val="34"/>
    <w:qFormat/>
    <w:rsid w:val="00087BF1"/>
    <w:pPr>
      <w:ind w:left="720"/>
      <w:contextualSpacing/>
    </w:pPr>
  </w:style>
  <w:style w:type="character" w:styleId="IntenseEmphasis">
    <w:name w:val="Intense Emphasis"/>
    <w:basedOn w:val="DefaultParagraphFont"/>
    <w:uiPriority w:val="21"/>
    <w:qFormat/>
    <w:rsid w:val="00087BF1"/>
    <w:rPr>
      <w:i/>
      <w:iCs/>
      <w:color w:val="2F5496" w:themeColor="accent1" w:themeShade="BF"/>
    </w:rPr>
  </w:style>
  <w:style w:type="paragraph" w:styleId="IntenseQuote">
    <w:name w:val="Intense Quote"/>
    <w:basedOn w:val="Normal"/>
    <w:next w:val="Normal"/>
    <w:link w:val="IntenseQuoteChar"/>
    <w:uiPriority w:val="30"/>
    <w:qFormat/>
    <w:rsid w:val="00087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7BF1"/>
    <w:rPr>
      <w:rFonts w:ascii="Arial" w:hAnsi="Arial"/>
      <w:i/>
      <w:iCs/>
      <w:color w:val="2F5496" w:themeColor="accent1" w:themeShade="BF"/>
      <w:lang w:eastAsia="en-US"/>
    </w:rPr>
  </w:style>
  <w:style w:type="character" w:styleId="IntenseReference">
    <w:name w:val="Intense Reference"/>
    <w:basedOn w:val="DefaultParagraphFont"/>
    <w:uiPriority w:val="32"/>
    <w:qFormat/>
    <w:rsid w:val="00087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11592">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20716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1871</Words>
  <Characters>10293</Characters>
  <Application>Microsoft Office Word</Application>
  <DocSecurity>4</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Munuve, Moses GIZ KE</cp:lastModifiedBy>
  <cp:revision>2</cp:revision>
  <dcterms:created xsi:type="dcterms:W3CDTF">2026-03-02T09:22:00Z</dcterms:created>
  <dcterms:modified xsi:type="dcterms:W3CDTF">2026-03-02T09:22:00Z</dcterms:modified>
</cp:coreProperties>
</file>